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方正小标宋简体" w:hAnsi="宋体" w:eastAsia="方正小标宋简体"/>
          <w:b/>
          <w:sz w:val="30"/>
          <w:szCs w:val="30"/>
        </w:rPr>
      </w:pPr>
      <w:r>
        <w:rPr>
          <w:rFonts w:hint="eastAsia" w:ascii="方正小标宋简体" w:hAnsi="宋体" w:eastAsia="方正小标宋简体"/>
          <w:b/>
          <w:sz w:val="30"/>
          <w:szCs w:val="30"/>
        </w:rPr>
        <w:t>衢州</w:t>
      </w:r>
      <w:r>
        <w:rPr>
          <w:rFonts w:hint="eastAsia" w:ascii="方正小标宋简体" w:hAnsi="宋体" w:eastAsia="方正小标宋简体"/>
          <w:b/>
          <w:sz w:val="30"/>
          <w:szCs w:val="30"/>
          <w:lang w:eastAsia="zh-CN"/>
        </w:rPr>
        <w:t>衢海百川资产管理</w:t>
      </w:r>
      <w:r>
        <w:rPr>
          <w:rFonts w:hint="eastAsia" w:ascii="方正小标宋简体" w:hAnsi="宋体" w:eastAsia="方正小标宋简体"/>
          <w:b/>
          <w:sz w:val="30"/>
          <w:szCs w:val="30"/>
        </w:rPr>
        <w:t>有限公司</w:t>
      </w:r>
      <w:r>
        <w:rPr>
          <w:rFonts w:hint="eastAsia" w:ascii="方正小标宋简体" w:hAnsi="宋体" w:eastAsia="方正小标宋简体"/>
          <w:b/>
          <w:sz w:val="30"/>
          <w:szCs w:val="30"/>
          <w:lang w:val="en-US" w:eastAsia="zh-CN"/>
        </w:rPr>
        <w:t>4</w:t>
      </w:r>
      <w:r>
        <w:rPr>
          <w:rFonts w:hint="eastAsia" w:ascii="方正小标宋简体" w:hAnsi="宋体" w:eastAsia="方正小标宋简体"/>
          <w:b/>
          <w:sz w:val="30"/>
          <w:szCs w:val="30"/>
        </w:rPr>
        <w:t>0%国有股权转让项目</w:t>
      </w:r>
    </w:p>
    <w:p>
      <w:pPr>
        <w:spacing w:line="400" w:lineRule="exact"/>
        <w:jc w:val="center"/>
        <w:rPr>
          <w:rFonts w:ascii="宋体" w:hAnsi="宋体"/>
          <w:b/>
          <w:sz w:val="30"/>
          <w:szCs w:val="30"/>
        </w:rPr>
      </w:pPr>
      <w:r>
        <w:rPr>
          <w:rFonts w:hint="eastAsia" w:ascii="方正小标宋简体" w:hAnsi="宋体" w:eastAsia="方正小标宋简体"/>
          <w:b/>
          <w:sz w:val="30"/>
          <w:szCs w:val="30"/>
        </w:rPr>
        <w:t>电子网络竞价会资料</w:t>
      </w:r>
    </w:p>
    <w:p>
      <w:pPr>
        <w:spacing w:line="400" w:lineRule="exact"/>
        <w:jc w:val="center"/>
        <w:rPr>
          <w:rFonts w:ascii="宋体" w:hAnsi="宋体"/>
          <w:b/>
          <w:sz w:val="30"/>
          <w:szCs w:val="30"/>
        </w:rPr>
      </w:pPr>
    </w:p>
    <w:p>
      <w:pPr>
        <w:numPr>
          <w:ilvl w:val="0"/>
          <w:numId w:val="4"/>
        </w:numPr>
        <w:tabs>
          <w:tab w:val="left" w:pos="1680"/>
        </w:tabs>
        <w:spacing w:line="500" w:lineRule="exact"/>
        <w:rPr>
          <w:rFonts w:ascii="宋体" w:hAnsi="宋体"/>
          <w:szCs w:val="21"/>
        </w:rPr>
      </w:pPr>
      <w:r>
        <w:rPr>
          <w:rFonts w:hint="eastAsia" w:ascii="宋体" w:hAnsi="宋体"/>
          <w:szCs w:val="21"/>
        </w:rPr>
        <w:t>竞价须知及特别约定</w:t>
      </w:r>
    </w:p>
    <w:p>
      <w:pPr>
        <w:numPr>
          <w:ilvl w:val="0"/>
          <w:numId w:val="4"/>
        </w:numPr>
        <w:tabs>
          <w:tab w:val="left" w:pos="1680"/>
        </w:tabs>
        <w:spacing w:line="500" w:lineRule="exact"/>
        <w:rPr>
          <w:rFonts w:ascii="宋体" w:hAnsi="宋体"/>
          <w:szCs w:val="21"/>
        </w:rPr>
      </w:pPr>
      <w:r>
        <w:rPr>
          <w:rFonts w:hint="eastAsia" w:ascii="宋体" w:hAnsi="宋体"/>
          <w:szCs w:val="21"/>
        </w:rPr>
        <w:t>附件：《衢州</w:t>
      </w:r>
      <w:r>
        <w:rPr>
          <w:rFonts w:hint="eastAsia" w:ascii="宋体" w:hAnsi="宋体"/>
          <w:szCs w:val="21"/>
          <w:lang w:eastAsia="zh-CN"/>
        </w:rPr>
        <w:t>衢海百川资产管理</w:t>
      </w:r>
      <w:r>
        <w:rPr>
          <w:rFonts w:hint="eastAsia" w:ascii="宋体" w:hAnsi="宋体"/>
          <w:szCs w:val="21"/>
        </w:rPr>
        <w:t>有限公司</w:t>
      </w:r>
      <w:r>
        <w:rPr>
          <w:rFonts w:hint="eastAsia" w:ascii="宋体" w:hAnsi="宋体"/>
          <w:szCs w:val="21"/>
          <w:lang w:val="en-US" w:eastAsia="zh-CN"/>
        </w:rPr>
        <w:t>4</w:t>
      </w:r>
      <w:r>
        <w:rPr>
          <w:rFonts w:hint="eastAsia" w:ascii="宋体" w:hAnsi="宋体"/>
          <w:szCs w:val="21"/>
        </w:rPr>
        <w:t>0%国有股权交易合同》（样稿）</w:t>
      </w:r>
    </w:p>
    <w:p>
      <w:pPr>
        <w:tabs>
          <w:tab w:val="left" w:pos="1680"/>
        </w:tabs>
        <w:spacing w:line="500" w:lineRule="exact"/>
        <w:ind w:left="360"/>
        <w:rPr>
          <w:rFonts w:ascii="宋体" w:hAnsi="宋体"/>
          <w:szCs w:val="21"/>
        </w:rPr>
      </w:pPr>
      <w:r>
        <w:rPr>
          <w:rFonts w:hint="eastAsia" w:ascii="宋体" w:hAnsi="宋体"/>
          <w:szCs w:val="21"/>
        </w:rPr>
        <w:t xml:space="preserve">           </w:t>
      </w:r>
    </w:p>
    <w:p>
      <w:pPr>
        <w:spacing w:line="520" w:lineRule="exact"/>
        <w:jc w:val="center"/>
        <w:rPr>
          <w:rFonts w:ascii="宋体" w:hAnsi="宋体"/>
          <w:b/>
          <w:sz w:val="28"/>
          <w:szCs w:val="28"/>
          <w:u w:val="single"/>
        </w:rPr>
      </w:pPr>
      <w:r>
        <w:rPr>
          <w:rFonts w:hint="eastAsia" w:ascii="宋体" w:hAnsi="宋体"/>
          <w:b/>
          <w:sz w:val="28"/>
          <w:szCs w:val="28"/>
          <w:u w:val="single"/>
        </w:rPr>
        <w:t>竞买申请及承诺</w:t>
      </w:r>
    </w:p>
    <w:p>
      <w:pPr>
        <w:spacing w:line="560" w:lineRule="exact"/>
        <w:rPr>
          <w:rFonts w:ascii="宋体" w:hAnsi="宋体"/>
          <w:b/>
          <w:szCs w:val="21"/>
        </w:rPr>
      </w:pPr>
      <w:r>
        <w:rPr>
          <w:rFonts w:hint="eastAsia" w:ascii="宋体" w:hAnsi="宋体"/>
          <w:b/>
          <w:szCs w:val="21"/>
        </w:rPr>
        <w:t>衢州市产权交易中心有限公司：</w:t>
      </w:r>
    </w:p>
    <w:p>
      <w:pPr>
        <w:spacing w:line="460" w:lineRule="exact"/>
        <w:ind w:firstLine="420" w:firstLineChars="200"/>
      </w:pPr>
      <w:r>
        <w:rPr>
          <w:rFonts w:hint="eastAsia"/>
        </w:rPr>
        <w:t>本方（人）已收到上述《</w:t>
      </w:r>
      <w:r>
        <w:rPr>
          <w:rFonts w:hint="eastAsia" w:ascii="宋体" w:hAnsi="宋体"/>
          <w:szCs w:val="21"/>
        </w:rPr>
        <w:t>衢州</w:t>
      </w:r>
      <w:r>
        <w:rPr>
          <w:rFonts w:hint="eastAsia" w:ascii="宋体" w:hAnsi="宋体"/>
          <w:szCs w:val="21"/>
          <w:lang w:eastAsia="zh-CN"/>
        </w:rPr>
        <w:t>衢海百川资产管理</w:t>
      </w:r>
      <w:r>
        <w:rPr>
          <w:rFonts w:hint="eastAsia" w:ascii="宋体" w:hAnsi="宋体"/>
          <w:szCs w:val="21"/>
        </w:rPr>
        <w:t>有限公司</w:t>
      </w:r>
      <w:r>
        <w:rPr>
          <w:rFonts w:hint="eastAsia" w:ascii="宋体" w:hAnsi="宋体"/>
          <w:szCs w:val="21"/>
          <w:lang w:val="en-US" w:eastAsia="zh-CN"/>
        </w:rPr>
        <w:t>4</w:t>
      </w:r>
      <w:r>
        <w:rPr>
          <w:rFonts w:hint="eastAsia" w:ascii="宋体" w:hAnsi="宋体"/>
          <w:szCs w:val="21"/>
        </w:rPr>
        <w:t>0%国</w:t>
      </w:r>
      <w:r>
        <w:rPr>
          <w:rFonts w:hint="eastAsia"/>
        </w:rPr>
        <w:t>有股权转让项目电子网络竞价会资料》( 以下简称“竞价会资料”)且已认真阅读和理解全部内容。本方（人）愿意按竞价会资料中约定的受让条件受让</w:t>
      </w:r>
      <w:r>
        <w:rPr>
          <w:rFonts w:hint="eastAsia" w:ascii="宋体" w:hAnsi="宋体"/>
          <w:szCs w:val="21"/>
        </w:rPr>
        <w:t>衢州</w:t>
      </w:r>
      <w:r>
        <w:rPr>
          <w:rFonts w:hint="eastAsia" w:ascii="宋体" w:hAnsi="宋体"/>
          <w:szCs w:val="21"/>
          <w:lang w:eastAsia="zh-CN"/>
        </w:rPr>
        <w:t>衢海百川资产管理</w:t>
      </w:r>
      <w:r>
        <w:rPr>
          <w:rFonts w:hint="eastAsia" w:ascii="宋体" w:hAnsi="宋体"/>
          <w:szCs w:val="21"/>
        </w:rPr>
        <w:t>有限公司</w:t>
      </w:r>
      <w:r>
        <w:rPr>
          <w:rFonts w:hint="eastAsia" w:ascii="宋体" w:hAnsi="宋体"/>
          <w:szCs w:val="21"/>
          <w:lang w:val="en-US" w:eastAsia="zh-CN"/>
        </w:rPr>
        <w:t>4</w:t>
      </w:r>
      <w:r>
        <w:rPr>
          <w:rFonts w:hint="eastAsia" w:ascii="宋体" w:hAnsi="宋体"/>
          <w:szCs w:val="21"/>
        </w:rPr>
        <w:t>0%国</w:t>
      </w:r>
      <w:r>
        <w:rPr>
          <w:rFonts w:hint="eastAsia"/>
        </w:rPr>
        <w:t>有股权（挂牌编号为：ZJGQ20190</w:t>
      </w:r>
      <w:r>
        <w:rPr>
          <w:rFonts w:hint="eastAsia"/>
          <w:lang w:val="en-US" w:eastAsia="zh-CN"/>
        </w:rPr>
        <w:t>415</w:t>
      </w:r>
      <w:r>
        <w:rPr>
          <w:rFonts w:hint="eastAsia"/>
        </w:rPr>
        <w:t>001），并承诺如下：</w:t>
      </w:r>
    </w:p>
    <w:p>
      <w:pPr>
        <w:spacing w:line="460" w:lineRule="exact"/>
        <w:ind w:firstLine="420" w:firstLineChars="200"/>
      </w:pPr>
      <w:r>
        <w:rPr>
          <w:rFonts w:hint="eastAsia" w:ascii="宋体" w:hAnsi="宋体"/>
          <w:color w:val="000000"/>
          <w:szCs w:val="21"/>
        </w:rPr>
        <w:t>本方（人）同意</w:t>
      </w:r>
      <w:r>
        <w:rPr>
          <w:color w:val="000000"/>
        </w:rPr>
        <w:t>自</w:t>
      </w:r>
      <w:r>
        <w:rPr>
          <w:rFonts w:hint="eastAsia" w:ascii="宋体" w:hAnsi="宋体"/>
          <w:color w:val="000000"/>
          <w:szCs w:val="21"/>
        </w:rPr>
        <w:t>贵公司</w:t>
      </w:r>
      <w:r>
        <w:rPr>
          <w:color w:val="000000"/>
        </w:rPr>
        <w:t>发出资格确认</w:t>
      </w:r>
      <w:r>
        <w:rPr>
          <w:rFonts w:ascii="宋体" w:hAnsi="宋体"/>
          <w:color w:val="000000"/>
          <w:szCs w:val="21"/>
        </w:rPr>
        <w:t>函</w:t>
      </w:r>
      <w:r>
        <w:rPr>
          <w:rFonts w:hint="eastAsia" w:ascii="宋体" w:hAnsi="宋体"/>
          <w:color w:val="000000"/>
          <w:szCs w:val="21"/>
        </w:rPr>
        <w:t>后2个</w:t>
      </w:r>
      <w:r>
        <w:rPr>
          <w:rFonts w:ascii="宋体" w:hAnsi="宋体"/>
          <w:color w:val="000000"/>
          <w:szCs w:val="21"/>
        </w:rPr>
        <w:t>工作日内</w:t>
      </w:r>
      <w:r>
        <w:rPr>
          <w:rFonts w:hint="eastAsia" w:ascii="宋体" w:hAnsi="宋体"/>
          <w:color w:val="000000"/>
          <w:szCs w:val="21"/>
        </w:rPr>
        <w:t>将</w:t>
      </w:r>
      <w:r>
        <w:rPr>
          <w:rFonts w:hint="eastAsia" w:ascii="宋体" w:hAnsi="宋体"/>
          <w:color w:val="000000"/>
          <w:szCs w:val="21"/>
          <w:lang w:val="en-US" w:eastAsia="zh-CN"/>
        </w:rPr>
        <w:t>8</w:t>
      </w:r>
      <w:r>
        <w:rPr>
          <w:rFonts w:hint="eastAsia" w:ascii="宋体" w:hAnsi="宋体"/>
          <w:color w:val="000000"/>
          <w:szCs w:val="21"/>
        </w:rPr>
        <w:t>万元（竞买保证金）</w:t>
      </w:r>
      <w:r>
        <w:rPr>
          <w:rFonts w:hint="eastAsia" w:ascii="宋体" w:hAnsi="宋体"/>
          <w:szCs w:val="21"/>
        </w:rPr>
        <w:t>打入衢州市产权交易中心有限公司指定账户（户名：衢州市产权交易中心有限公司，账号：1209210009049028267，开户银行：衢州市工行营业部</w:t>
      </w:r>
      <w:r>
        <w:rPr>
          <w:rFonts w:hint="eastAsia"/>
          <w:color w:val="000000"/>
        </w:rPr>
        <w:t>）</w:t>
      </w:r>
      <w:r>
        <w:rPr>
          <w:rFonts w:hint="eastAsia" w:ascii="宋体" w:hAnsi="宋体"/>
          <w:color w:val="000000"/>
          <w:szCs w:val="21"/>
        </w:rPr>
        <w:t>，并同意按</w:t>
      </w:r>
      <w:r>
        <w:rPr>
          <w:rFonts w:hint="eastAsia"/>
          <w:color w:val="000000"/>
        </w:rPr>
        <w:t>竞价会</w:t>
      </w:r>
      <w:r>
        <w:rPr>
          <w:rFonts w:hint="eastAsia" w:ascii="宋体" w:hAnsi="宋体"/>
          <w:color w:val="000000"/>
          <w:szCs w:val="21"/>
        </w:rPr>
        <w:t>资料的</w:t>
      </w:r>
      <w:r>
        <w:rPr>
          <w:rFonts w:hint="eastAsia"/>
          <w:color w:val="000000"/>
        </w:rPr>
        <w:t>规定</w:t>
      </w:r>
      <w:r>
        <w:rPr>
          <w:rFonts w:hint="eastAsia" w:ascii="宋体" w:hAnsi="宋体"/>
          <w:color w:val="000000"/>
          <w:szCs w:val="21"/>
        </w:rPr>
        <w:t>处置竞买</w:t>
      </w:r>
      <w:r>
        <w:rPr>
          <w:rFonts w:hint="eastAsia"/>
        </w:rPr>
        <w:t>保证金。</w:t>
      </w:r>
    </w:p>
    <w:p>
      <w:pPr>
        <w:spacing w:line="460" w:lineRule="exact"/>
        <w:ind w:firstLine="420" w:firstLineChars="200"/>
      </w:pPr>
      <w:r>
        <w:rPr>
          <w:rFonts w:hint="eastAsia"/>
        </w:rPr>
        <w:t>本方承诺竞买报名时提交的全部的报名材料均真实、合法、有效，本方（人）确保自身主体资格和所提供的所有资料均能符合审批机关、相关管理部门对主体资格的要求。且本方确认在签署本竞买申请及承诺前已认真阅读竞价会资料的内容，已自行完成对本项目的全部尽职调查并对本项目的现状已全面知晓，承诺接受竞价会资料中各项条款的要求，并愿意按照本次竞价程序参与竞价和承担相应竞价结果。</w:t>
      </w:r>
    </w:p>
    <w:p>
      <w:pPr>
        <w:pStyle w:val="27"/>
        <w:ind w:firstLine="420"/>
        <w:rPr>
          <w:sz w:val="21"/>
          <w:szCs w:val="24"/>
        </w:rPr>
      </w:pPr>
    </w:p>
    <w:p>
      <w:pPr>
        <w:pStyle w:val="27"/>
        <w:tabs>
          <w:tab w:val="left" w:pos="1080"/>
        </w:tabs>
        <w:ind w:firstLine="420"/>
        <w:rPr>
          <w:sz w:val="21"/>
          <w:szCs w:val="24"/>
        </w:rPr>
      </w:pPr>
      <w:r>
        <w:rPr>
          <w:rFonts w:hint="eastAsia"/>
          <w:sz w:val="21"/>
          <w:szCs w:val="24"/>
        </w:rPr>
        <w:t xml:space="preserve">      特此确认。</w:t>
      </w:r>
    </w:p>
    <w:p>
      <w:pPr>
        <w:pStyle w:val="27"/>
        <w:tabs>
          <w:tab w:val="left" w:pos="1080"/>
        </w:tabs>
        <w:ind w:firstLine="420"/>
        <w:rPr>
          <w:sz w:val="21"/>
          <w:szCs w:val="24"/>
        </w:rPr>
      </w:pPr>
    </w:p>
    <w:p>
      <w:pPr>
        <w:pStyle w:val="27"/>
        <w:spacing w:line="600" w:lineRule="exact"/>
        <w:jc w:val="right"/>
        <w:rPr>
          <w:szCs w:val="21"/>
        </w:rPr>
      </w:pPr>
      <w:r>
        <w:rPr>
          <w:rFonts w:hint="eastAsia"/>
          <w:szCs w:val="21"/>
        </w:rPr>
        <w:t>意向受让方（签字盖章）：________________________</w:t>
      </w:r>
    </w:p>
    <w:p>
      <w:pPr>
        <w:pStyle w:val="27"/>
        <w:spacing w:line="600" w:lineRule="exact"/>
        <w:ind w:right="26" w:firstLine="420"/>
        <w:jc w:val="right"/>
        <w:rPr>
          <w:rFonts w:ascii="宋体" w:hAnsi="宋体"/>
          <w:sz w:val="21"/>
          <w:szCs w:val="21"/>
        </w:rPr>
      </w:pPr>
      <w:r>
        <w:rPr>
          <w:rFonts w:hint="eastAsia" w:ascii="宋体" w:hAnsi="宋体"/>
          <w:sz w:val="21"/>
          <w:szCs w:val="21"/>
        </w:rPr>
        <w:t>日  期：________________________</w:t>
      </w:r>
    </w:p>
    <w:p>
      <w:pPr>
        <w:spacing w:line="360" w:lineRule="auto"/>
        <w:jc w:val="center"/>
        <w:rPr>
          <w:b/>
          <w:sz w:val="32"/>
          <w:szCs w:val="32"/>
        </w:rPr>
      </w:pPr>
      <w:r>
        <w:rPr>
          <w:rFonts w:ascii="宋体" w:hAnsi="宋体"/>
          <w:sz w:val="18"/>
          <w:szCs w:val="18"/>
        </w:rPr>
        <w:br w:type="page"/>
      </w:r>
      <w:r>
        <w:rPr>
          <w:rFonts w:hint="eastAsia" w:ascii="宋体" w:hAnsi="宋体"/>
          <w:b/>
          <w:sz w:val="32"/>
          <w:szCs w:val="32"/>
        </w:rPr>
        <w:t>竞价须知及特别约定</w:t>
      </w:r>
    </w:p>
    <w:p>
      <w:pPr>
        <w:jc w:val="center"/>
        <w:rPr>
          <w:b/>
          <w:sz w:val="18"/>
          <w:szCs w:val="18"/>
        </w:rPr>
      </w:pPr>
    </w:p>
    <w:p>
      <w:pPr>
        <w:ind w:firstLine="420" w:firstLineChars="200"/>
        <w:rPr>
          <w:rFonts w:ascii="宋体" w:hAnsi="宋体"/>
          <w:szCs w:val="21"/>
        </w:rPr>
      </w:pPr>
      <w:r>
        <w:rPr>
          <w:rFonts w:hint="eastAsia" w:ascii="宋体" w:hAnsi="宋体"/>
          <w:color w:val="000000"/>
          <w:szCs w:val="21"/>
        </w:rPr>
        <w:t>本公司（衢州市产权交易中心有限公司）受转让方的委托对其所持</w:t>
      </w:r>
      <w:r>
        <w:rPr>
          <w:rFonts w:hint="eastAsia" w:ascii="宋体" w:hAnsi="宋体"/>
          <w:szCs w:val="21"/>
        </w:rPr>
        <w:t>衢州</w:t>
      </w:r>
      <w:r>
        <w:rPr>
          <w:rFonts w:hint="eastAsia" w:ascii="宋体" w:hAnsi="宋体"/>
          <w:szCs w:val="21"/>
          <w:lang w:eastAsia="zh-CN"/>
        </w:rPr>
        <w:t>衢海百川资产管理</w:t>
      </w:r>
      <w:r>
        <w:rPr>
          <w:rFonts w:hint="eastAsia" w:ascii="宋体" w:hAnsi="宋体"/>
          <w:szCs w:val="21"/>
        </w:rPr>
        <w:t>有限公司</w:t>
      </w:r>
      <w:r>
        <w:rPr>
          <w:rFonts w:hint="eastAsia" w:ascii="宋体" w:hAnsi="宋体"/>
          <w:szCs w:val="21"/>
          <w:lang w:val="en-US" w:eastAsia="zh-CN"/>
        </w:rPr>
        <w:t>4</w:t>
      </w:r>
      <w:r>
        <w:rPr>
          <w:rFonts w:hint="eastAsia" w:ascii="宋体" w:hAnsi="宋体"/>
          <w:szCs w:val="21"/>
        </w:rPr>
        <w:t>0%</w:t>
      </w:r>
      <w:r>
        <w:rPr>
          <w:rFonts w:hint="eastAsia" w:ascii="宋体" w:hAnsi="宋体"/>
          <w:color w:val="000000"/>
          <w:szCs w:val="21"/>
        </w:rPr>
        <w:t>国有股权采用电子网络竞价形式进行组织转让</w:t>
      </w:r>
      <w:r>
        <w:rPr>
          <w:rFonts w:hint="eastAsia" w:ascii="宋体" w:hAnsi="宋体"/>
          <w:szCs w:val="21"/>
        </w:rPr>
        <w:t>，为切实保障各竞价当事人的权利和义务，根据《中华人民共和国合同法》、《企业国有资产交易监督管理办法》（国务院国资委财政部令第32号）和《衢州市产权交易中心有限公司网络（电子）竞价实施办法（试行）》，本着公开、公平、公正、诚实信用的原则，特制定竞价须知及特别约定如下：</w:t>
      </w:r>
    </w:p>
    <w:p>
      <w:pPr>
        <w:numPr>
          <w:ilvl w:val="0"/>
          <w:numId w:val="5"/>
        </w:numPr>
        <w:rPr>
          <w:rFonts w:ascii="宋体" w:hAnsi="宋体"/>
          <w:b/>
          <w:color w:val="000000"/>
          <w:szCs w:val="21"/>
        </w:rPr>
      </w:pPr>
      <w:r>
        <w:rPr>
          <w:rFonts w:hint="eastAsia" w:ascii="宋体" w:hAnsi="宋体"/>
          <w:b/>
          <w:color w:val="000000"/>
          <w:szCs w:val="21"/>
        </w:rPr>
        <w:t>定义</w:t>
      </w:r>
    </w:p>
    <w:p>
      <w:pPr>
        <w:numPr>
          <w:ilvl w:val="0"/>
          <w:numId w:val="6"/>
        </w:numPr>
        <w:rPr>
          <w:rFonts w:ascii="宋体" w:hAnsi="宋体"/>
          <w:szCs w:val="21"/>
        </w:rPr>
      </w:pPr>
      <w:r>
        <w:rPr>
          <w:rFonts w:hint="eastAsia" w:ascii="宋体" w:hAnsi="宋体"/>
          <w:szCs w:val="21"/>
        </w:rPr>
        <w:t>标的：指衢州</w:t>
      </w:r>
      <w:r>
        <w:rPr>
          <w:rFonts w:hint="eastAsia" w:ascii="宋体" w:hAnsi="宋体"/>
          <w:szCs w:val="21"/>
          <w:lang w:eastAsia="zh-CN"/>
        </w:rPr>
        <w:t>衢海百川资产管理</w:t>
      </w:r>
      <w:r>
        <w:rPr>
          <w:rFonts w:hint="eastAsia" w:ascii="宋体" w:hAnsi="宋体"/>
          <w:szCs w:val="21"/>
        </w:rPr>
        <w:t>有限公司</w:t>
      </w:r>
      <w:r>
        <w:rPr>
          <w:rFonts w:hint="eastAsia" w:ascii="宋体" w:hAnsi="宋体"/>
          <w:szCs w:val="21"/>
          <w:lang w:val="en-US" w:eastAsia="zh-CN"/>
        </w:rPr>
        <w:t>4</w:t>
      </w:r>
      <w:r>
        <w:rPr>
          <w:rFonts w:hint="eastAsia" w:ascii="宋体" w:hAnsi="宋体"/>
          <w:szCs w:val="21"/>
        </w:rPr>
        <w:t>0%国有股权。</w:t>
      </w:r>
    </w:p>
    <w:p>
      <w:pPr>
        <w:numPr>
          <w:ilvl w:val="0"/>
          <w:numId w:val="6"/>
        </w:numPr>
        <w:rPr>
          <w:rFonts w:ascii="宋体" w:hAnsi="宋体"/>
          <w:szCs w:val="21"/>
        </w:rPr>
      </w:pPr>
      <w:r>
        <w:rPr>
          <w:rFonts w:hint="eastAsia" w:ascii="宋体" w:hAnsi="宋体"/>
          <w:szCs w:val="21"/>
        </w:rPr>
        <w:t>本项目：指衢州</w:t>
      </w:r>
      <w:r>
        <w:rPr>
          <w:rFonts w:hint="eastAsia" w:ascii="宋体" w:hAnsi="宋体"/>
          <w:szCs w:val="21"/>
          <w:lang w:eastAsia="zh-CN"/>
        </w:rPr>
        <w:t>衢海百川资产管理</w:t>
      </w:r>
      <w:r>
        <w:rPr>
          <w:rFonts w:hint="eastAsia" w:ascii="宋体" w:hAnsi="宋体"/>
          <w:szCs w:val="21"/>
        </w:rPr>
        <w:t>有限公司</w:t>
      </w:r>
      <w:r>
        <w:rPr>
          <w:rFonts w:hint="eastAsia" w:ascii="宋体" w:hAnsi="宋体"/>
          <w:szCs w:val="21"/>
          <w:lang w:val="en-US" w:eastAsia="zh-CN"/>
        </w:rPr>
        <w:t>4</w:t>
      </w:r>
      <w:r>
        <w:rPr>
          <w:rFonts w:hint="eastAsia" w:ascii="宋体" w:hAnsi="宋体"/>
          <w:szCs w:val="21"/>
        </w:rPr>
        <w:t>0%国有股权转让。</w:t>
      </w:r>
    </w:p>
    <w:p>
      <w:pPr>
        <w:numPr>
          <w:ilvl w:val="0"/>
          <w:numId w:val="6"/>
        </w:numPr>
        <w:rPr>
          <w:rFonts w:ascii="宋体" w:hAnsi="宋体"/>
          <w:szCs w:val="21"/>
        </w:rPr>
      </w:pPr>
      <w:r>
        <w:rPr>
          <w:rFonts w:hint="eastAsia" w:ascii="宋体" w:hAnsi="宋体"/>
          <w:szCs w:val="21"/>
        </w:rPr>
        <w:t>标的公司：指衢州</w:t>
      </w:r>
      <w:r>
        <w:rPr>
          <w:rFonts w:hint="eastAsia" w:ascii="宋体" w:hAnsi="宋体"/>
          <w:szCs w:val="21"/>
          <w:lang w:eastAsia="zh-CN"/>
        </w:rPr>
        <w:t>衢海百川资产管理</w:t>
      </w:r>
      <w:r>
        <w:rPr>
          <w:rFonts w:hint="eastAsia" w:ascii="宋体" w:hAnsi="宋体"/>
          <w:szCs w:val="21"/>
        </w:rPr>
        <w:t>有限公司。</w:t>
      </w:r>
    </w:p>
    <w:p>
      <w:pPr>
        <w:numPr>
          <w:ilvl w:val="0"/>
          <w:numId w:val="6"/>
        </w:numPr>
        <w:rPr>
          <w:rFonts w:ascii="宋体" w:hAnsi="宋体"/>
          <w:szCs w:val="21"/>
        </w:rPr>
      </w:pPr>
      <w:r>
        <w:rPr>
          <w:rFonts w:hint="eastAsia" w:ascii="宋体" w:hAnsi="宋体"/>
          <w:szCs w:val="21"/>
        </w:rPr>
        <w:t>转让方：本项目转让方为衢州市</w:t>
      </w:r>
      <w:r>
        <w:rPr>
          <w:rFonts w:hint="eastAsia" w:ascii="宋体" w:hAnsi="宋体"/>
          <w:szCs w:val="21"/>
          <w:lang w:eastAsia="zh-CN"/>
        </w:rPr>
        <w:t>金融控股集团有限公司</w:t>
      </w:r>
      <w:r>
        <w:rPr>
          <w:rFonts w:hint="eastAsia" w:ascii="宋体" w:hAnsi="宋体"/>
          <w:szCs w:val="21"/>
        </w:rPr>
        <w:t>。</w:t>
      </w:r>
    </w:p>
    <w:p>
      <w:pPr>
        <w:numPr>
          <w:ilvl w:val="0"/>
          <w:numId w:val="6"/>
        </w:numPr>
        <w:rPr>
          <w:sz w:val="28"/>
        </w:rPr>
      </w:pPr>
      <w:r>
        <w:rPr>
          <w:rFonts w:hint="eastAsia"/>
          <w:szCs w:val="21"/>
        </w:rPr>
        <w:t>组织人：指衢州市产权交易中心有限公司。</w:t>
      </w:r>
    </w:p>
    <w:p>
      <w:pPr>
        <w:numPr>
          <w:ilvl w:val="0"/>
          <w:numId w:val="6"/>
        </w:numPr>
        <w:rPr>
          <w:sz w:val="28"/>
        </w:rPr>
      </w:pPr>
      <w:r>
        <w:rPr>
          <w:rFonts w:hint="eastAsia"/>
          <w:szCs w:val="21"/>
        </w:rPr>
        <w:t>意向受让方：指意向受让本次标的的主体。</w:t>
      </w:r>
    </w:p>
    <w:p>
      <w:pPr>
        <w:numPr>
          <w:ilvl w:val="0"/>
          <w:numId w:val="6"/>
        </w:numPr>
        <w:rPr>
          <w:sz w:val="28"/>
        </w:rPr>
      </w:pPr>
      <w:r>
        <w:rPr>
          <w:rFonts w:hint="eastAsia"/>
          <w:szCs w:val="21"/>
        </w:rPr>
        <w:t>竞买人：指经资格确认并按时交纳足额竞买保证金后参加竞买本次标的的意向受让方。</w:t>
      </w:r>
    </w:p>
    <w:p>
      <w:pPr>
        <w:numPr>
          <w:ilvl w:val="0"/>
          <w:numId w:val="6"/>
        </w:numPr>
        <w:rPr>
          <w:rFonts w:ascii="宋体" w:hAnsi="宋体"/>
          <w:szCs w:val="21"/>
        </w:rPr>
      </w:pPr>
      <w:r>
        <w:rPr>
          <w:rFonts w:hint="eastAsia"/>
          <w:szCs w:val="21"/>
        </w:rPr>
        <w:t>受让方：</w:t>
      </w:r>
      <w:r>
        <w:rPr>
          <w:rFonts w:hint="eastAsia" w:ascii="宋体" w:hAnsi="宋体"/>
          <w:szCs w:val="21"/>
        </w:rPr>
        <w:t>被确定为本项目受让主体的竞买人。</w:t>
      </w:r>
    </w:p>
    <w:p>
      <w:pPr>
        <w:numPr>
          <w:ilvl w:val="0"/>
          <w:numId w:val="6"/>
        </w:numPr>
        <w:rPr>
          <w:rFonts w:ascii="宋体" w:hAnsi="宋体"/>
          <w:szCs w:val="21"/>
        </w:rPr>
      </w:pPr>
      <w:r>
        <w:rPr>
          <w:rFonts w:hint="eastAsia" w:ascii="宋体" w:hAnsi="宋体"/>
          <w:szCs w:val="21"/>
        </w:rPr>
        <w:t>产权交易合同：指转让方与受让方就转让标的签订的《衢州</w:t>
      </w:r>
      <w:r>
        <w:rPr>
          <w:rFonts w:hint="eastAsia" w:ascii="宋体" w:hAnsi="宋体"/>
          <w:szCs w:val="21"/>
          <w:lang w:eastAsia="zh-CN"/>
        </w:rPr>
        <w:t>衢海百川资产管理</w:t>
      </w:r>
      <w:r>
        <w:rPr>
          <w:rFonts w:hint="eastAsia" w:ascii="宋体" w:hAnsi="宋体"/>
          <w:szCs w:val="21"/>
        </w:rPr>
        <w:t>有限公司</w:t>
      </w:r>
      <w:r>
        <w:rPr>
          <w:rFonts w:hint="eastAsia" w:ascii="宋体" w:hAnsi="宋体"/>
          <w:szCs w:val="21"/>
          <w:lang w:val="en-US" w:eastAsia="zh-CN"/>
        </w:rPr>
        <w:t>4</w:t>
      </w:r>
      <w:r>
        <w:rPr>
          <w:rFonts w:hint="eastAsia" w:ascii="宋体" w:hAnsi="宋体"/>
          <w:szCs w:val="21"/>
        </w:rPr>
        <w:t>0%国有股权交易合同》。</w:t>
      </w:r>
    </w:p>
    <w:p>
      <w:pPr>
        <w:numPr>
          <w:ilvl w:val="0"/>
          <w:numId w:val="6"/>
        </w:numPr>
        <w:rPr>
          <w:rFonts w:ascii="宋体" w:hAnsi="宋体"/>
          <w:szCs w:val="21"/>
        </w:rPr>
      </w:pPr>
      <w:r>
        <w:rPr>
          <w:rFonts w:hint="eastAsia" w:ascii="宋体" w:hAnsi="宋体"/>
          <w:szCs w:val="21"/>
        </w:rPr>
        <w:t>竞买凭证：即竞价会通知，由组织人向已经资格确认并按时递交足额保证金的竞买人发放。</w:t>
      </w:r>
    </w:p>
    <w:p>
      <w:pPr>
        <w:numPr>
          <w:ilvl w:val="0"/>
          <w:numId w:val="6"/>
        </w:numPr>
        <w:rPr>
          <w:rFonts w:ascii="宋体" w:hAnsi="宋体"/>
          <w:szCs w:val="21"/>
        </w:rPr>
      </w:pPr>
      <w:r>
        <w:rPr>
          <w:rFonts w:hint="eastAsia" w:ascii="宋体" w:hAnsi="宋体"/>
          <w:szCs w:val="21"/>
        </w:rPr>
        <w:t>电子网络竞价（简称电子竞价）：指由组织人组织，在锁定除价格外的其他受让条件后，竞买人通过电子竞价系统自行报价，由报价最高者</w:t>
      </w:r>
      <w:r>
        <w:rPr>
          <w:rFonts w:hint="eastAsia" w:ascii="宋体" w:hAnsi="宋体"/>
          <w:color w:val="FF0000"/>
          <w:szCs w:val="21"/>
        </w:rPr>
        <w:t>或同意以该最高价行使优先购买权的优先购买权人</w:t>
      </w:r>
      <w:r>
        <w:rPr>
          <w:rFonts w:hint="eastAsia" w:ascii="宋体" w:hAnsi="宋体"/>
          <w:szCs w:val="21"/>
        </w:rPr>
        <w:t>受让标的的方法。</w:t>
      </w:r>
    </w:p>
    <w:p>
      <w:pPr>
        <w:numPr>
          <w:ilvl w:val="0"/>
          <w:numId w:val="6"/>
        </w:numPr>
        <w:rPr>
          <w:rFonts w:ascii="宋体" w:hAnsi="宋体"/>
          <w:szCs w:val="21"/>
        </w:rPr>
      </w:pPr>
      <w:r>
        <w:rPr>
          <w:rFonts w:hint="eastAsia" w:ascii="宋体" w:hAnsi="宋体"/>
          <w:szCs w:val="21"/>
        </w:rPr>
        <w:t>报名截止时间：2019年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13</w:t>
      </w:r>
      <w:r>
        <w:rPr>
          <w:rFonts w:hint="eastAsia" w:ascii="宋体" w:hAnsi="宋体"/>
          <w:szCs w:val="21"/>
        </w:rPr>
        <w:t>日下午16时30分止。</w:t>
      </w:r>
    </w:p>
    <w:p>
      <w:pPr>
        <w:numPr>
          <w:ilvl w:val="0"/>
          <w:numId w:val="6"/>
        </w:numPr>
        <w:rPr>
          <w:sz w:val="28"/>
        </w:rPr>
      </w:pPr>
      <w:r>
        <w:rPr>
          <w:rFonts w:hint="eastAsia"/>
          <w:szCs w:val="21"/>
        </w:rPr>
        <w:t>竞买保证金到账截止时间：指竞买人的竞买保证金到达组织人指定账户的截止时间。</w:t>
      </w:r>
    </w:p>
    <w:p>
      <w:pPr>
        <w:numPr>
          <w:ilvl w:val="0"/>
          <w:numId w:val="5"/>
        </w:numPr>
        <w:rPr>
          <w:rFonts w:ascii="宋体" w:hAnsi="宋体"/>
          <w:b/>
          <w:szCs w:val="21"/>
        </w:rPr>
      </w:pPr>
      <w:r>
        <w:rPr>
          <w:rFonts w:hint="eastAsia" w:ascii="宋体" w:hAnsi="宋体"/>
          <w:b/>
          <w:szCs w:val="21"/>
        </w:rPr>
        <w:t>竞价须知</w:t>
      </w:r>
    </w:p>
    <w:p>
      <w:pPr>
        <w:numPr>
          <w:ilvl w:val="0"/>
          <w:numId w:val="7"/>
        </w:numPr>
        <w:rPr>
          <w:rFonts w:ascii="宋体" w:hAnsi="宋体"/>
          <w:szCs w:val="21"/>
        </w:rPr>
      </w:pPr>
      <w:r>
        <w:rPr>
          <w:rFonts w:hint="eastAsia" w:ascii="宋体" w:hAnsi="宋体"/>
          <w:szCs w:val="21"/>
        </w:rPr>
        <w:t>竞价程序及时间安排</w:t>
      </w:r>
    </w:p>
    <w:p>
      <w:pPr>
        <w:numPr>
          <w:ilvl w:val="1"/>
          <w:numId w:val="8"/>
        </w:numPr>
        <w:rPr>
          <w:rFonts w:ascii="宋体" w:hAnsi="宋体"/>
          <w:szCs w:val="21"/>
        </w:rPr>
      </w:pPr>
      <w:r>
        <w:rPr>
          <w:rFonts w:hint="eastAsia" w:ascii="宋体" w:hAnsi="宋体"/>
          <w:szCs w:val="21"/>
        </w:rPr>
        <w:t>本次竞价程序分为竞买报名、</w:t>
      </w:r>
      <w:r>
        <w:rPr>
          <w:rFonts w:hint="eastAsia"/>
        </w:rPr>
        <w:t>递交竞买保证金</w:t>
      </w:r>
      <w:r>
        <w:rPr>
          <w:rFonts w:hint="eastAsia" w:ascii="宋体" w:hAnsi="宋体"/>
          <w:szCs w:val="21"/>
        </w:rPr>
        <w:t>、竞价邀请</w:t>
      </w:r>
      <w:r>
        <w:rPr>
          <w:rFonts w:hint="eastAsia"/>
        </w:rPr>
        <w:t>、</w:t>
      </w:r>
      <w:r>
        <w:rPr>
          <w:rFonts w:hint="eastAsia" w:ascii="宋体" w:hAnsi="宋体"/>
          <w:szCs w:val="21"/>
        </w:rPr>
        <w:t>确定受让方、签署产权交易合同。</w:t>
      </w:r>
    </w:p>
    <w:p>
      <w:pPr>
        <w:numPr>
          <w:ilvl w:val="0"/>
          <w:numId w:val="9"/>
        </w:numPr>
        <w:rPr>
          <w:rFonts w:ascii="宋体" w:hAnsi="宋体"/>
          <w:szCs w:val="21"/>
        </w:rPr>
      </w:pPr>
      <w:r>
        <w:rPr>
          <w:rFonts w:hint="eastAsia" w:ascii="宋体" w:hAnsi="宋体"/>
          <w:szCs w:val="21"/>
        </w:rPr>
        <w:t>竞买报名：符合本项目受让条件的意向受让方应在</w:t>
      </w:r>
      <w:r>
        <w:rPr>
          <w:rFonts w:ascii="宋体" w:hAnsi="宋体"/>
          <w:szCs w:val="21"/>
        </w:rPr>
        <w:t>报名截止时间前向</w:t>
      </w:r>
      <w:r>
        <w:rPr>
          <w:rFonts w:hint="eastAsia" w:ascii="宋体" w:hAnsi="宋体"/>
          <w:szCs w:val="21"/>
        </w:rPr>
        <w:t>衢州市产权交易中心有限公司</w:t>
      </w:r>
      <w:r>
        <w:rPr>
          <w:rFonts w:ascii="宋体" w:hAnsi="宋体"/>
          <w:szCs w:val="21"/>
        </w:rPr>
        <w:t>递交全部竞买报名材料（</w:t>
      </w:r>
      <w:r>
        <w:rPr>
          <w:rFonts w:hint="eastAsia" w:ascii="宋体" w:hAnsi="宋体"/>
          <w:szCs w:val="21"/>
        </w:rPr>
        <w:t>日常办理时间：工作日上午8：30－11：30，下午2：00-4:30，</w:t>
      </w:r>
      <w:r>
        <w:rPr>
          <w:rFonts w:hint="eastAsia" w:ascii="宋体" w:hAnsi="宋体"/>
          <w:color w:val="FF0000"/>
          <w:szCs w:val="21"/>
        </w:rPr>
        <w:t>府东街208号二楼</w:t>
      </w:r>
      <w:r>
        <w:rPr>
          <w:rFonts w:ascii="宋体" w:hAnsi="宋体"/>
          <w:szCs w:val="21"/>
        </w:rPr>
        <w:t>，逾期无效。</w:t>
      </w:r>
      <w:r>
        <w:rPr>
          <w:rFonts w:hint="eastAsia" w:ascii="宋体" w:hAnsi="宋体"/>
          <w:szCs w:val="21"/>
        </w:rPr>
        <w:t>衢州市产权交易中心有限公司</w:t>
      </w:r>
      <w:r>
        <w:rPr>
          <w:rFonts w:ascii="宋体" w:hAnsi="宋体"/>
          <w:szCs w:val="21"/>
        </w:rPr>
        <w:t>在收到递交全部竞买报名材料后，办理竞买报名登记手续。</w:t>
      </w:r>
    </w:p>
    <w:p>
      <w:pPr>
        <w:numPr>
          <w:ilvl w:val="0"/>
          <w:numId w:val="9"/>
        </w:numPr>
        <w:rPr>
          <w:rFonts w:ascii="宋体" w:hAnsi="宋体"/>
          <w:szCs w:val="21"/>
        </w:rPr>
      </w:pPr>
      <w:r>
        <w:rPr>
          <w:rFonts w:hint="eastAsia"/>
        </w:rPr>
        <w:t>递交竞买保证金：竞买人应在竞买保证金到账截止时间前将竞买保证金汇入</w:t>
      </w:r>
      <w:r>
        <w:rPr>
          <w:rFonts w:hint="eastAsia" w:ascii="宋体" w:hAnsi="宋体"/>
          <w:szCs w:val="21"/>
        </w:rPr>
        <w:t>衢州市产权交易中心有限公司</w:t>
      </w:r>
      <w:r>
        <w:rPr>
          <w:rFonts w:hint="eastAsia"/>
        </w:rPr>
        <w:t>指定账户。</w:t>
      </w:r>
    </w:p>
    <w:p>
      <w:pPr>
        <w:numPr>
          <w:ilvl w:val="0"/>
          <w:numId w:val="9"/>
        </w:numPr>
        <w:rPr>
          <w:rFonts w:ascii="宋体" w:hAnsi="宋体"/>
          <w:szCs w:val="21"/>
        </w:rPr>
      </w:pPr>
      <w:r>
        <w:rPr>
          <w:rFonts w:hint="eastAsia" w:ascii="宋体" w:hAnsi="宋体"/>
          <w:szCs w:val="21"/>
        </w:rPr>
        <w:t>竞价邀请：组织人向竞买人发放</w:t>
      </w:r>
      <w:r>
        <w:rPr>
          <w:rFonts w:hint="eastAsia" w:ascii="宋体" w:hAnsi="宋体"/>
          <w:color w:val="FF0000"/>
          <w:szCs w:val="21"/>
        </w:rPr>
        <w:t>竞买凭证</w:t>
      </w:r>
      <w:r>
        <w:rPr>
          <w:rFonts w:hint="eastAsia" w:ascii="宋体" w:hAnsi="宋体"/>
          <w:szCs w:val="21"/>
        </w:rPr>
        <w:t>。</w:t>
      </w:r>
    </w:p>
    <w:p>
      <w:pPr>
        <w:numPr>
          <w:ilvl w:val="0"/>
          <w:numId w:val="9"/>
        </w:numPr>
        <w:rPr>
          <w:rFonts w:ascii="宋体" w:hAnsi="宋体"/>
          <w:szCs w:val="21"/>
        </w:rPr>
      </w:pPr>
      <w:r>
        <w:rPr>
          <w:rFonts w:hint="eastAsia" w:ascii="宋体" w:hAnsi="宋体"/>
          <w:szCs w:val="21"/>
        </w:rPr>
        <w:t>确定受让方：依据本竞价会资料的规定确认受让方。</w:t>
      </w:r>
    </w:p>
    <w:p>
      <w:pPr>
        <w:numPr>
          <w:ilvl w:val="0"/>
          <w:numId w:val="9"/>
        </w:numPr>
        <w:rPr>
          <w:rFonts w:ascii="宋体" w:hAnsi="宋体"/>
          <w:szCs w:val="21"/>
        </w:rPr>
      </w:pPr>
      <w:r>
        <w:rPr>
          <w:rFonts w:hint="eastAsia" w:ascii="宋体" w:hAnsi="宋体"/>
          <w:szCs w:val="21"/>
        </w:rPr>
        <w:t>签署产权交易合同：转让方、受让方签署产权交易合同。</w:t>
      </w:r>
    </w:p>
    <w:p>
      <w:pPr>
        <w:numPr>
          <w:ilvl w:val="1"/>
          <w:numId w:val="8"/>
        </w:numPr>
        <w:rPr>
          <w:rFonts w:ascii="宋体" w:hAnsi="宋体"/>
          <w:szCs w:val="21"/>
        </w:rPr>
      </w:pPr>
      <w:r>
        <w:rPr>
          <w:rFonts w:hint="eastAsia" w:ascii="宋体" w:hAnsi="宋体"/>
          <w:szCs w:val="21"/>
        </w:rPr>
        <w:t>时间安排：</w:t>
      </w:r>
    </w:p>
    <w:p>
      <w:pPr>
        <w:numPr>
          <w:ilvl w:val="0"/>
          <w:numId w:val="10"/>
        </w:numPr>
        <w:rPr>
          <w:rFonts w:ascii="宋体" w:hAnsi="宋体"/>
          <w:color w:val="FF0000"/>
          <w:szCs w:val="21"/>
        </w:rPr>
      </w:pPr>
      <w:r>
        <w:rPr>
          <w:rFonts w:hint="eastAsia" w:ascii="宋体" w:hAnsi="宋体"/>
          <w:color w:val="000000"/>
          <w:szCs w:val="21"/>
        </w:rPr>
        <w:t>竞买报名时间：自公告发布之日起——2019</w:t>
      </w:r>
      <w:r>
        <w:rPr>
          <w:rFonts w:ascii="宋体" w:hAnsi="宋体"/>
          <w:color w:val="000000"/>
          <w:szCs w:val="21"/>
        </w:rPr>
        <w:t>年</w:t>
      </w:r>
      <w:r>
        <w:rPr>
          <w:rFonts w:hint="eastAsia" w:ascii="宋体" w:hAnsi="宋体"/>
          <w:color w:val="000000"/>
          <w:szCs w:val="21"/>
          <w:lang w:val="en-US" w:eastAsia="zh-CN"/>
        </w:rPr>
        <w:t>5</w:t>
      </w:r>
      <w:r>
        <w:rPr>
          <w:rFonts w:ascii="宋体" w:hAnsi="宋体"/>
          <w:color w:val="000000"/>
          <w:szCs w:val="21"/>
        </w:rPr>
        <w:t>月</w:t>
      </w:r>
      <w:r>
        <w:rPr>
          <w:rFonts w:hint="eastAsia" w:ascii="宋体" w:hAnsi="宋体"/>
          <w:color w:val="000000"/>
          <w:szCs w:val="21"/>
          <w:lang w:val="en-US" w:eastAsia="zh-CN"/>
        </w:rPr>
        <w:t>13</w:t>
      </w:r>
      <w:r>
        <w:rPr>
          <w:rFonts w:ascii="宋体" w:hAnsi="宋体"/>
          <w:color w:val="000000"/>
          <w:szCs w:val="21"/>
        </w:rPr>
        <w:t>日</w:t>
      </w:r>
      <w:r>
        <w:rPr>
          <w:rFonts w:hint="eastAsia" w:ascii="宋体" w:hAnsi="宋体"/>
          <w:color w:val="000000"/>
          <w:szCs w:val="21"/>
        </w:rPr>
        <w:t>。</w:t>
      </w:r>
    </w:p>
    <w:p>
      <w:pPr>
        <w:numPr>
          <w:ilvl w:val="0"/>
          <w:numId w:val="10"/>
        </w:numPr>
      </w:pPr>
      <w:r>
        <w:rPr>
          <w:rFonts w:hint="eastAsia"/>
        </w:rPr>
        <w:t>递交保证金：</w:t>
      </w:r>
      <w:r>
        <w:t>意向受让方</w:t>
      </w:r>
      <w:r>
        <w:rPr>
          <w:rFonts w:hint="eastAsia" w:ascii="宋体" w:hAnsi="宋体"/>
          <w:szCs w:val="21"/>
        </w:rPr>
        <w:t>应按竞价会资料规定的时间和要求提交</w:t>
      </w:r>
      <w:r>
        <w:rPr>
          <w:rFonts w:hint="eastAsia"/>
        </w:rPr>
        <w:t>竞买</w:t>
      </w:r>
      <w:r>
        <w:rPr>
          <w:rFonts w:hint="eastAsia" w:ascii="宋体" w:hAnsi="宋体"/>
          <w:szCs w:val="21"/>
        </w:rPr>
        <w:t>保证金</w:t>
      </w:r>
      <w:r>
        <w:rPr>
          <w:rFonts w:hint="eastAsia"/>
        </w:rPr>
        <w:t>。</w:t>
      </w:r>
    </w:p>
    <w:p>
      <w:pPr>
        <w:numPr>
          <w:ilvl w:val="0"/>
          <w:numId w:val="10"/>
        </w:numPr>
        <w:rPr>
          <w:rFonts w:ascii="宋体" w:hAnsi="宋体"/>
          <w:szCs w:val="21"/>
        </w:rPr>
      </w:pPr>
      <w:r>
        <w:rPr>
          <w:rFonts w:hint="eastAsia" w:ascii="宋体" w:hAnsi="宋体"/>
          <w:szCs w:val="21"/>
        </w:rPr>
        <w:t>竞价邀请：电子竞价会开始时间前。</w:t>
      </w:r>
    </w:p>
    <w:p>
      <w:pPr>
        <w:numPr>
          <w:ilvl w:val="0"/>
          <w:numId w:val="10"/>
        </w:numPr>
        <w:rPr>
          <w:rFonts w:ascii="宋体" w:hAnsi="宋体"/>
          <w:szCs w:val="21"/>
        </w:rPr>
      </w:pPr>
      <w:r>
        <w:rPr>
          <w:rFonts w:hint="eastAsia" w:ascii="宋体" w:hAnsi="宋体"/>
          <w:szCs w:val="21"/>
        </w:rPr>
        <w:t>电子竞价并确定受让方：根据竞价会通知载明时间举行电子竞价会，开始时间延迟的，以延迟后的开始时间为准，延迟时间一般不超过1小时，遇特殊情况或不可抗力时除外，组织人有权对此情况进行裁定。</w:t>
      </w:r>
    </w:p>
    <w:p>
      <w:pPr>
        <w:numPr>
          <w:ilvl w:val="0"/>
          <w:numId w:val="10"/>
        </w:numPr>
        <w:rPr>
          <w:rFonts w:ascii="宋体" w:hAnsi="宋体"/>
          <w:szCs w:val="21"/>
        </w:rPr>
      </w:pPr>
      <w:r>
        <w:rPr>
          <w:rFonts w:hint="eastAsia" w:ascii="宋体" w:hAnsi="宋体"/>
          <w:szCs w:val="21"/>
        </w:rPr>
        <w:t>签署产权交易合同：</w:t>
      </w:r>
      <w:r>
        <w:rPr>
          <w:rFonts w:hint="eastAsia" w:ascii="宋体" w:hAnsi="宋体"/>
          <w:color w:val="000000"/>
          <w:szCs w:val="21"/>
        </w:rPr>
        <w:t>被确定为本项目受让主体的竞买人</w:t>
      </w:r>
      <w:r>
        <w:rPr>
          <w:rFonts w:ascii="宋体" w:hAnsi="宋体"/>
          <w:szCs w:val="21"/>
        </w:rPr>
        <w:t>应在</w:t>
      </w:r>
      <w:r>
        <w:rPr>
          <w:rFonts w:hint="eastAsia" w:ascii="宋体" w:hAnsi="宋体"/>
          <w:szCs w:val="21"/>
        </w:rPr>
        <w:t>竞价成交当日</w:t>
      </w:r>
      <w:r>
        <w:rPr>
          <w:rFonts w:ascii="宋体" w:hAnsi="宋体"/>
          <w:szCs w:val="21"/>
        </w:rPr>
        <w:t>同转让方签订转让标的交易合同</w:t>
      </w:r>
      <w:r>
        <w:rPr>
          <w:rFonts w:hint="eastAsia" w:ascii="宋体" w:hAnsi="宋体"/>
          <w:szCs w:val="21"/>
        </w:rPr>
        <w:t>。</w:t>
      </w:r>
    </w:p>
    <w:p>
      <w:pPr>
        <w:numPr>
          <w:ilvl w:val="0"/>
          <w:numId w:val="7"/>
        </w:numPr>
        <w:rPr>
          <w:rFonts w:ascii="宋体" w:hAnsi="宋体"/>
          <w:szCs w:val="21"/>
        </w:rPr>
      </w:pPr>
      <w:r>
        <w:rPr>
          <w:rFonts w:hint="eastAsia" w:ascii="宋体" w:hAnsi="宋体"/>
          <w:szCs w:val="21"/>
        </w:rPr>
        <w:t>本次电子竞价活动是在公开、公平、公正、诚实信用的原则下进行的，一切活动都具备法律效力。</w:t>
      </w:r>
    </w:p>
    <w:p>
      <w:pPr>
        <w:numPr>
          <w:ilvl w:val="0"/>
          <w:numId w:val="7"/>
        </w:numPr>
        <w:ind w:firstLineChars="200"/>
        <w:rPr>
          <w:rFonts w:ascii="宋体" w:hAnsi="宋体"/>
          <w:szCs w:val="21"/>
        </w:rPr>
      </w:pPr>
      <w:r>
        <w:rPr>
          <w:rFonts w:hint="eastAsia" w:ascii="宋体" w:hAnsi="宋体"/>
          <w:szCs w:val="21"/>
        </w:rPr>
        <w:t>意向受让方应具备并接受本次公告或有关规定中注明的竞买条件，否则不得参加竞买。意向受让方在办理竞买报名手续时应提交下列材料：（1）《</w:t>
      </w:r>
      <w:r>
        <w:rPr>
          <w:rFonts w:ascii="宋体" w:hAnsi="宋体"/>
          <w:szCs w:val="21"/>
        </w:rPr>
        <w:t>产权受让申请登记文件</w:t>
      </w:r>
      <w:r>
        <w:rPr>
          <w:rFonts w:hint="eastAsia" w:ascii="宋体" w:hAnsi="宋体"/>
          <w:szCs w:val="21"/>
        </w:rPr>
        <w:t>》</w:t>
      </w:r>
      <w:r>
        <w:rPr>
          <w:rFonts w:hint="eastAsia" w:ascii="宋体" w:hAnsi="宋体"/>
          <w:b/>
          <w:szCs w:val="21"/>
          <w:u w:val="single"/>
        </w:rPr>
        <w:t>及备注清单中的材料</w:t>
      </w:r>
      <w:r>
        <w:rPr>
          <w:rFonts w:hint="eastAsia" w:ascii="宋体" w:hAnsi="宋体"/>
          <w:szCs w:val="21"/>
        </w:rPr>
        <w:t>；（2）组织人认为需要提交的其它文件或材料。</w:t>
      </w:r>
    </w:p>
    <w:p>
      <w:pPr>
        <w:numPr>
          <w:ilvl w:val="0"/>
          <w:numId w:val="7"/>
        </w:numPr>
        <w:rPr>
          <w:rFonts w:ascii="宋体" w:hAnsi="宋体"/>
          <w:color w:val="000000"/>
          <w:szCs w:val="21"/>
        </w:rPr>
      </w:pPr>
      <w:r>
        <w:rPr>
          <w:rFonts w:hint="eastAsia"/>
          <w:color w:val="000000"/>
        </w:rPr>
        <w:t>如属联合竞买的，联合体成员应签署联合竞买协议；协议中应明确联合体成员的受让比例，明确联合竞买的牵头人，并由牵头人负责办理具体竞价事宜。联合体成员不得再以自己的名义单独参加竞买，也不得同时成为其它联合体的成员。</w:t>
      </w:r>
    </w:p>
    <w:p>
      <w:pPr>
        <w:numPr>
          <w:ilvl w:val="0"/>
          <w:numId w:val="7"/>
        </w:numPr>
        <w:rPr>
          <w:rFonts w:ascii="宋体" w:hAnsi="宋体"/>
          <w:b/>
          <w:szCs w:val="21"/>
        </w:rPr>
      </w:pPr>
      <w:r>
        <w:rPr>
          <w:rFonts w:hint="eastAsia" w:ascii="宋体" w:hAnsi="宋体"/>
          <w:b/>
          <w:szCs w:val="21"/>
          <w:u w:val="single"/>
        </w:rPr>
        <w:t>意向受让方在本次标的挂牌期内，应认真阅读本竞价会资料。意向受让方</w:t>
      </w:r>
      <w:r>
        <w:rPr>
          <w:rFonts w:hint="eastAsia" w:ascii="宋体" w:hAnsi="宋体" w:cs="宋体"/>
          <w:b/>
          <w:kern w:val="0"/>
          <w:szCs w:val="21"/>
          <w:u w:val="single"/>
        </w:rPr>
        <w:t>有异议的，应在竞买报名前提出。</w:t>
      </w:r>
      <w:r>
        <w:rPr>
          <w:rFonts w:hint="eastAsia" w:ascii="宋体" w:hAnsi="宋体"/>
          <w:b/>
          <w:szCs w:val="21"/>
          <w:u w:val="single"/>
        </w:rPr>
        <w:t>意向受让方</w:t>
      </w:r>
      <w:r>
        <w:rPr>
          <w:rFonts w:hint="eastAsia" w:ascii="宋体" w:hAnsi="宋体" w:cs="宋体"/>
          <w:b/>
          <w:kern w:val="0"/>
          <w:szCs w:val="21"/>
          <w:u w:val="single"/>
        </w:rPr>
        <w:t>完成报名手续后即表明已充分了解竞价项目的一切现状（包括</w:t>
      </w:r>
      <w:r>
        <w:rPr>
          <w:rFonts w:hint="eastAsia" w:ascii="宋体" w:hAnsi="宋体"/>
          <w:b/>
          <w:szCs w:val="21"/>
          <w:u w:val="single"/>
        </w:rPr>
        <w:t>瑕疵</w:t>
      </w:r>
      <w:r>
        <w:rPr>
          <w:rFonts w:hint="eastAsia" w:ascii="宋体" w:hAnsi="宋体" w:cs="宋体"/>
          <w:b/>
          <w:kern w:val="0"/>
          <w:szCs w:val="21"/>
          <w:u w:val="single"/>
        </w:rPr>
        <w:t>），接受本竞价会资料的全部内容和要求，并不以任何形式对本竞价会资料的内容提出异议。</w:t>
      </w:r>
      <w:r>
        <w:rPr>
          <w:rFonts w:hint="eastAsia" w:ascii="宋体" w:hAnsi="宋体"/>
          <w:b/>
          <w:szCs w:val="21"/>
          <w:u w:val="single"/>
        </w:rPr>
        <w:t>组织人不承担和担保标的品质和相关瑕疵等任何责任。电子竞价时，竞价会主持人也不再回答竞买人提出的有关标的和竞价程序的任何问题。意向受让方报名竞买后，不得以事先未进行咨询等任何理由反悔，责任由意向受让方自负。意向受让方在办理查询手续或竞买报名登记手续后可以向组织人申请查阅产权转让标的的相关信息和材料。</w:t>
      </w:r>
    </w:p>
    <w:p>
      <w:pPr>
        <w:numPr>
          <w:ilvl w:val="0"/>
          <w:numId w:val="7"/>
        </w:numPr>
        <w:rPr>
          <w:rFonts w:ascii="宋体" w:hAnsi="宋体"/>
          <w:color w:val="000000"/>
          <w:szCs w:val="21"/>
        </w:rPr>
      </w:pPr>
      <w:r>
        <w:rPr>
          <w:rFonts w:hint="eastAsia"/>
          <w:color w:val="000000"/>
          <w:szCs w:val="21"/>
        </w:rPr>
        <w:t>不放弃优先购买权的原股东须按时登记报名、交纳竞买保证金，竞价当天须按时到达竞价会现场参与电子网络竞价。竞价过程中，有最高应价时，优先购买权人可以通过电子网络竞价系统行使优先购买权，如无更高应价，则归优先购买权人；如有更高应价，而优先购买权人不行使的，则归该应价最高的竞买人。</w:t>
      </w:r>
    </w:p>
    <w:p>
      <w:pPr>
        <w:numPr>
          <w:ilvl w:val="0"/>
          <w:numId w:val="7"/>
        </w:numPr>
        <w:rPr>
          <w:rFonts w:ascii="宋体" w:hAnsi="宋体"/>
          <w:szCs w:val="21"/>
        </w:rPr>
      </w:pPr>
      <w:r>
        <w:rPr>
          <w:rFonts w:ascii="宋体" w:hAnsi="宋体"/>
          <w:szCs w:val="21"/>
        </w:rPr>
        <w:t>意向受让方</w:t>
      </w:r>
      <w:r>
        <w:rPr>
          <w:rFonts w:hint="eastAsia" w:ascii="宋体" w:hAnsi="宋体"/>
          <w:szCs w:val="21"/>
        </w:rPr>
        <w:t>经资格确认并</w:t>
      </w:r>
      <w:r>
        <w:rPr>
          <w:rFonts w:ascii="宋体" w:hAnsi="宋体"/>
          <w:szCs w:val="21"/>
        </w:rPr>
        <w:t>交纳全部</w:t>
      </w:r>
      <w:r>
        <w:rPr>
          <w:rFonts w:hint="eastAsia" w:ascii="宋体" w:hAnsi="宋体"/>
          <w:szCs w:val="21"/>
        </w:rPr>
        <w:t>竞买</w:t>
      </w:r>
      <w:r>
        <w:rPr>
          <w:rFonts w:ascii="宋体" w:hAnsi="宋体"/>
          <w:szCs w:val="21"/>
        </w:rPr>
        <w:t>保证金后获得参与竞价交易资格；逾期未交纳的，视为放弃受让意向。</w:t>
      </w:r>
    </w:p>
    <w:p>
      <w:pPr>
        <w:numPr>
          <w:ilvl w:val="0"/>
          <w:numId w:val="7"/>
        </w:numPr>
        <w:rPr>
          <w:rFonts w:ascii="宋体" w:hAnsi="宋体"/>
          <w:szCs w:val="21"/>
        </w:rPr>
      </w:pPr>
      <w:r>
        <w:rPr>
          <w:rFonts w:hint="eastAsia"/>
          <w:color w:val="000000"/>
        </w:rPr>
        <w:t>若至</w:t>
      </w:r>
      <w:r>
        <w:rPr>
          <w:color w:val="000000"/>
        </w:rPr>
        <w:t>竞买报名截止时间</w:t>
      </w:r>
      <w:r>
        <w:rPr>
          <w:rFonts w:hint="eastAsia"/>
          <w:color w:val="000000"/>
        </w:rPr>
        <w:t>止</w:t>
      </w:r>
      <w:r>
        <w:rPr>
          <w:color w:val="000000"/>
        </w:rPr>
        <w:t>，只有一家合格竞买人报名，</w:t>
      </w:r>
      <w:r>
        <w:rPr>
          <w:rFonts w:hint="eastAsia"/>
          <w:color w:val="000000"/>
        </w:rPr>
        <w:t>其在报名时的意向报价即为其正式报价。该竞买人应在</w:t>
      </w:r>
      <w:r>
        <w:rPr>
          <w:color w:val="000000"/>
        </w:rPr>
        <w:t>不变更公告挂牌时的受让条件和合同条款的前提下</w:t>
      </w:r>
      <w:r>
        <w:rPr>
          <w:rFonts w:hint="eastAsia"/>
          <w:color w:val="000000"/>
        </w:rPr>
        <w:t>，</w:t>
      </w:r>
      <w:r>
        <w:rPr>
          <w:color w:val="000000"/>
        </w:rPr>
        <w:t>在被确定为受让方后</w:t>
      </w:r>
      <w:r>
        <w:rPr>
          <w:rFonts w:hint="eastAsia"/>
          <w:color w:val="000000"/>
          <w:u w:val="single"/>
        </w:rPr>
        <w:t>3</w:t>
      </w:r>
      <w:r>
        <w:rPr>
          <w:rFonts w:hint="eastAsia"/>
          <w:color w:val="000000"/>
        </w:rPr>
        <w:t>个工作日</w:t>
      </w:r>
      <w:r>
        <w:rPr>
          <w:color w:val="000000"/>
        </w:rPr>
        <w:t>内同转让方</w:t>
      </w:r>
      <w:r>
        <w:rPr>
          <w:rFonts w:hint="eastAsia"/>
          <w:color w:val="000000"/>
        </w:rPr>
        <w:t>签署产权</w:t>
      </w:r>
      <w:r>
        <w:rPr>
          <w:color w:val="000000"/>
        </w:rPr>
        <w:t>交易合同</w:t>
      </w:r>
      <w:r>
        <w:rPr>
          <w:rFonts w:hint="eastAsia"/>
          <w:color w:val="000000"/>
        </w:rPr>
        <w:t>，</w:t>
      </w:r>
      <w:r>
        <w:rPr>
          <w:rFonts w:hint="eastAsia" w:ascii="宋体" w:hAnsi="宋体"/>
          <w:color w:val="000000"/>
          <w:szCs w:val="21"/>
        </w:rPr>
        <w:t>成交价格根据竞价起始价和该竞买人正式报价按照孰高原则确定</w:t>
      </w:r>
      <w:r>
        <w:rPr>
          <w:color w:val="000000"/>
        </w:rPr>
        <w:t>。</w:t>
      </w:r>
    </w:p>
    <w:p>
      <w:pPr>
        <w:numPr>
          <w:ilvl w:val="0"/>
          <w:numId w:val="7"/>
        </w:numPr>
        <w:rPr>
          <w:rFonts w:ascii="宋体" w:hAnsi="宋体"/>
          <w:szCs w:val="21"/>
        </w:rPr>
      </w:pPr>
      <w:r>
        <w:rPr>
          <w:rFonts w:hint="eastAsia" w:ascii="宋体" w:hAnsi="宋体"/>
          <w:szCs w:val="21"/>
        </w:rPr>
        <w:t>经资格确认后</w:t>
      </w:r>
      <w:r>
        <w:rPr>
          <w:rFonts w:ascii="宋体" w:hAnsi="宋体"/>
          <w:szCs w:val="21"/>
        </w:rPr>
        <w:t>，有两家或两家以上</w:t>
      </w:r>
      <w:r>
        <w:rPr>
          <w:rFonts w:hint="eastAsia"/>
          <w:szCs w:val="21"/>
        </w:rPr>
        <w:t>意向受让方</w:t>
      </w:r>
      <w:r>
        <w:rPr>
          <w:rFonts w:hint="eastAsia" w:ascii="宋体" w:hAnsi="宋体"/>
          <w:szCs w:val="21"/>
        </w:rPr>
        <w:t>按时递交竞买保证金</w:t>
      </w:r>
      <w:r>
        <w:rPr>
          <w:rFonts w:ascii="宋体" w:hAnsi="宋体"/>
          <w:szCs w:val="21"/>
        </w:rPr>
        <w:t>，则按照</w:t>
      </w:r>
      <w:r>
        <w:rPr>
          <w:rFonts w:hint="eastAsia" w:ascii="宋体" w:hAnsi="宋体"/>
          <w:szCs w:val="21"/>
        </w:rPr>
        <w:t>组织人网站</w:t>
      </w:r>
      <w:r>
        <w:rPr>
          <w:rFonts w:ascii="宋体" w:hAnsi="宋体"/>
          <w:szCs w:val="21"/>
        </w:rPr>
        <w:t>最终确定时间采用竞价方式进行转让</w:t>
      </w:r>
      <w:r>
        <w:rPr>
          <w:rFonts w:hint="eastAsia" w:ascii="宋体" w:hAnsi="宋体"/>
          <w:szCs w:val="21"/>
        </w:rPr>
        <w:t>。</w:t>
      </w:r>
    </w:p>
    <w:p>
      <w:pPr>
        <w:numPr>
          <w:ilvl w:val="0"/>
          <w:numId w:val="7"/>
        </w:numPr>
        <w:rPr>
          <w:rFonts w:ascii="宋体" w:hAnsi="宋体"/>
          <w:szCs w:val="21"/>
        </w:rPr>
      </w:pPr>
      <w:r>
        <w:rPr>
          <w:rFonts w:hint="eastAsia" w:ascii="宋体" w:hAnsi="宋体"/>
          <w:szCs w:val="21"/>
        </w:rPr>
        <w:t>本项目采取竞价方式转让时，竞买人应在竞价会开始前凭身份证原件、组织人开立的保证金收款凭证、组织人确认并发放的竞买凭证进入竞价会现场，以上凭证、证件及入场券必须妥善保管，若因损坏、遗失、外借等所引起的法律责任由竞买人自负。竞买人参加竞买时法人应随带公章。</w:t>
      </w:r>
    </w:p>
    <w:p>
      <w:pPr>
        <w:numPr>
          <w:ilvl w:val="0"/>
          <w:numId w:val="7"/>
        </w:numPr>
        <w:rPr>
          <w:rFonts w:ascii="宋体" w:hAnsi="宋体"/>
          <w:szCs w:val="21"/>
        </w:rPr>
      </w:pPr>
      <w:r>
        <w:rPr>
          <w:rFonts w:hint="eastAsia" w:ascii="宋体" w:hAnsi="宋体"/>
          <w:szCs w:val="21"/>
        </w:rPr>
        <w:t>组织人将于电子竞价会开始时间前30分钟开始办理电子竞价登记手续。竞买人本人（竞买人为自然人时指自然人本人，竞买人为法人时指法人授权代表本人或法定代表人本人）须携带本人身份证原件或其他有效身份证件在电子竞价会开始时间前30分钟开始办理电子竞价登记手续，并登陆电子竞价系统。</w:t>
      </w:r>
    </w:p>
    <w:p>
      <w:pPr>
        <w:numPr>
          <w:ilvl w:val="0"/>
          <w:numId w:val="7"/>
        </w:numPr>
        <w:rPr>
          <w:rFonts w:ascii="宋体" w:hAnsi="宋体"/>
          <w:szCs w:val="21"/>
        </w:rPr>
      </w:pPr>
      <w:r>
        <w:rPr>
          <w:rFonts w:hint="eastAsia" w:ascii="宋体" w:hAnsi="宋体"/>
          <w:szCs w:val="21"/>
        </w:rPr>
        <w:t>本次电子竞价采取连续报价方式进行，转让方未设有保留底价。</w:t>
      </w:r>
    </w:p>
    <w:p>
      <w:pPr>
        <w:numPr>
          <w:ilvl w:val="0"/>
          <w:numId w:val="7"/>
        </w:numPr>
        <w:rPr>
          <w:rFonts w:ascii="宋体" w:hAnsi="宋体"/>
          <w:szCs w:val="21"/>
        </w:rPr>
      </w:pPr>
      <w:r>
        <w:rPr>
          <w:rFonts w:hint="eastAsia" w:ascii="宋体" w:hAnsi="宋体"/>
          <w:szCs w:val="21"/>
        </w:rPr>
        <w:t>本次电子竞价每一应价时间为90秒。竞买人应在90秒钟的应价时间内，通过电子竞价系统报价。</w:t>
      </w:r>
    </w:p>
    <w:p>
      <w:pPr>
        <w:numPr>
          <w:ilvl w:val="0"/>
          <w:numId w:val="7"/>
        </w:numPr>
        <w:rPr>
          <w:rFonts w:ascii="宋体" w:hAnsi="宋体"/>
          <w:color w:val="FF0000"/>
          <w:szCs w:val="21"/>
        </w:rPr>
      </w:pPr>
      <w:r>
        <w:rPr>
          <w:rFonts w:hint="eastAsia"/>
          <w:color w:val="000000"/>
        </w:rPr>
        <w:t>首次报价不得低于挂牌转让价（即竞价起始价），下一轮报价应高于前一轮报价。每次报价的加价幅度为人民币</w:t>
      </w:r>
      <w:r>
        <w:rPr>
          <w:rFonts w:hint="eastAsia"/>
          <w:color w:val="FF0000"/>
          <w:u w:val="single"/>
        </w:rPr>
        <w:t>壹万</w:t>
      </w:r>
      <w:r>
        <w:rPr>
          <w:rFonts w:hint="eastAsia"/>
          <w:color w:val="FF0000"/>
        </w:rPr>
        <w:t>元或</w:t>
      </w:r>
      <w:r>
        <w:rPr>
          <w:rFonts w:hint="eastAsia"/>
          <w:color w:val="FF0000"/>
          <w:u w:val="single"/>
        </w:rPr>
        <w:t>壹万</w:t>
      </w:r>
      <w:r>
        <w:rPr>
          <w:rFonts w:hint="eastAsia"/>
          <w:color w:val="FF0000"/>
        </w:rPr>
        <w:t>元的整数倍，最低加价幅度为</w:t>
      </w:r>
      <w:r>
        <w:rPr>
          <w:rFonts w:hint="eastAsia"/>
          <w:color w:val="FF0000"/>
          <w:u w:val="single"/>
        </w:rPr>
        <w:t>壹万</w:t>
      </w:r>
      <w:r>
        <w:rPr>
          <w:rFonts w:hint="eastAsia"/>
          <w:color w:val="FF0000"/>
        </w:rPr>
        <w:t>元整。</w:t>
      </w:r>
    </w:p>
    <w:p>
      <w:pPr>
        <w:numPr>
          <w:ilvl w:val="0"/>
          <w:numId w:val="7"/>
        </w:numPr>
        <w:rPr>
          <w:rFonts w:ascii="宋体" w:hAnsi="宋体"/>
          <w:color w:val="000000"/>
          <w:szCs w:val="21"/>
        </w:rPr>
      </w:pPr>
      <w:r>
        <w:rPr>
          <w:rFonts w:hint="eastAsia"/>
          <w:color w:val="000000"/>
        </w:rPr>
        <w:t>竞买人报价在电子竞价系统未确认之前可以撤回或者修改，一经确认，即不得撤销。</w:t>
      </w:r>
    </w:p>
    <w:p>
      <w:pPr>
        <w:numPr>
          <w:ilvl w:val="0"/>
          <w:numId w:val="7"/>
        </w:numPr>
        <w:rPr>
          <w:rFonts w:ascii="宋体" w:hAnsi="宋体"/>
          <w:szCs w:val="21"/>
        </w:rPr>
      </w:pPr>
      <w:r>
        <w:rPr>
          <w:rFonts w:hint="eastAsia"/>
        </w:rPr>
        <w:t>应价时间截止，最高报价的竞</w:t>
      </w:r>
      <w:r>
        <w:rPr>
          <w:rFonts w:hint="eastAsia"/>
          <w:color w:val="000000"/>
        </w:rPr>
        <w:t>买人</w:t>
      </w:r>
      <w:r>
        <w:rPr>
          <w:rFonts w:hint="eastAsia" w:ascii="宋体" w:hAnsi="宋体"/>
          <w:color w:val="000000"/>
          <w:szCs w:val="21"/>
        </w:rPr>
        <w:t>或同意以该最高价行使优先购买权的优先购买权人</w:t>
      </w:r>
      <w:r>
        <w:rPr>
          <w:rFonts w:hint="eastAsia"/>
          <w:color w:val="000000"/>
        </w:rPr>
        <w:t>为受让方，由组织人当场出具竞价成交价格确认单，由受让方签</w:t>
      </w:r>
      <w:r>
        <w:rPr>
          <w:rFonts w:hint="eastAsia"/>
        </w:rPr>
        <w:t>署。</w:t>
      </w:r>
    </w:p>
    <w:p>
      <w:pPr>
        <w:numPr>
          <w:ilvl w:val="0"/>
          <w:numId w:val="7"/>
        </w:numPr>
        <w:rPr>
          <w:rFonts w:ascii="宋体" w:hAnsi="宋体"/>
          <w:b/>
          <w:szCs w:val="21"/>
        </w:rPr>
      </w:pPr>
      <w:r>
        <w:rPr>
          <w:rFonts w:hint="eastAsia"/>
          <w:b/>
          <w:u w:val="single"/>
        </w:rPr>
        <w:t>因被确定的受让方违约放弃受让，致使转让方将标的再次挂牌转让，如再次挂牌转让的成交价格低于本次成交价格的，则差额部分由本次竞价确定的违约受让方在其所交</w:t>
      </w:r>
      <w:r>
        <w:rPr>
          <w:rFonts w:hint="eastAsia" w:ascii="宋体" w:hAnsi="宋体"/>
          <w:b/>
          <w:szCs w:val="21"/>
          <w:u w:val="single"/>
        </w:rPr>
        <w:t>保证金以外再行赔偿</w:t>
      </w:r>
      <w:r>
        <w:rPr>
          <w:rFonts w:hint="eastAsia"/>
          <w:b/>
          <w:u w:val="single"/>
        </w:rPr>
        <w:t>。</w:t>
      </w:r>
    </w:p>
    <w:p>
      <w:pPr>
        <w:numPr>
          <w:ilvl w:val="0"/>
          <w:numId w:val="7"/>
        </w:numPr>
        <w:rPr>
          <w:rFonts w:ascii="宋体" w:hAnsi="宋体"/>
          <w:szCs w:val="21"/>
        </w:rPr>
      </w:pPr>
      <w:r>
        <w:rPr>
          <w:rFonts w:hint="eastAsia" w:ascii="宋体" w:hAnsi="宋体"/>
          <w:b/>
          <w:szCs w:val="21"/>
          <w:u w:val="single"/>
        </w:rPr>
        <w:t>竞价成交后，竞买人应在被确定为受让方后</w:t>
      </w:r>
      <w:r>
        <w:rPr>
          <w:rFonts w:hint="eastAsia" w:ascii="宋体" w:hAnsi="宋体"/>
          <w:b/>
          <w:szCs w:val="21"/>
          <w:u w:val="single"/>
          <w:lang w:eastAsia="zh-CN"/>
        </w:rPr>
        <w:t>三</w:t>
      </w:r>
      <w:r>
        <w:rPr>
          <w:rFonts w:hint="eastAsia" w:ascii="宋体" w:hAnsi="宋体"/>
          <w:b/>
          <w:szCs w:val="21"/>
          <w:u w:val="single"/>
        </w:rPr>
        <w:t>日</w:t>
      </w:r>
      <w:r>
        <w:rPr>
          <w:rFonts w:hint="eastAsia" w:ascii="宋体" w:hAnsi="宋体"/>
          <w:b/>
          <w:szCs w:val="21"/>
          <w:u w:val="single"/>
          <w:lang w:eastAsia="zh-CN"/>
        </w:rPr>
        <w:t>内</w:t>
      </w:r>
      <w:bookmarkStart w:id="0" w:name="_GoBack"/>
      <w:bookmarkEnd w:id="0"/>
      <w:r>
        <w:rPr>
          <w:rFonts w:hint="eastAsia" w:ascii="宋体" w:hAnsi="宋体"/>
          <w:b/>
          <w:szCs w:val="21"/>
          <w:u w:val="single"/>
        </w:rPr>
        <w:t>同转让方在组织人指定场所签订产权交易合同</w:t>
      </w:r>
      <w:r>
        <w:rPr>
          <w:rFonts w:hint="eastAsia" w:ascii="宋体" w:hAnsi="宋体"/>
          <w:szCs w:val="21"/>
        </w:rPr>
        <w:t>。产权交易合同中除受让方相关信息及“转让价格”条款等手填条款外，其他条款均已确定而不得修改；转让价格为受让方在电子竞价交易系统中报出的经公证确认的有效最高报价。</w:t>
      </w:r>
    </w:p>
    <w:p>
      <w:pPr>
        <w:numPr>
          <w:ilvl w:val="0"/>
          <w:numId w:val="7"/>
        </w:numPr>
        <w:rPr>
          <w:rFonts w:ascii="宋体" w:hAnsi="宋体"/>
          <w:szCs w:val="21"/>
        </w:rPr>
      </w:pPr>
      <w:r>
        <w:rPr>
          <w:rFonts w:hint="eastAsia"/>
        </w:rPr>
        <w:t>参与竞价但未被确定为受让方的竞买人，且未出现本竞价会资料规定应当扣除或不予退还竞买保证金情形的，</w:t>
      </w:r>
      <w:r>
        <w:rPr>
          <w:rFonts w:hint="eastAsia" w:ascii="宋体" w:hAnsi="宋体"/>
          <w:szCs w:val="21"/>
        </w:rPr>
        <w:t>其已递交的竞买保证金在竞买活动结束后</w:t>
      </w:r>
      <w:r>
        <w:rPr>
          <w:rFonts w:hint="eastAsia" w:ascii="宋体" w:hAnsi="宋体"/>
          <w:color w:val="FF0000"/>
          <w:szCs w:val="21"/>
        </w:rPr>
        <w:t>5个工作日</w:t>
      </w:r>
      <w:r>
        <w:rPr>
          <w:rFonts w:hint="eastAsia" w:ascii="宋体" w:hAnsi="宋体"/>
          <w:szCs w:val="21"/>
        </w:rPr>
        <w:t>内，全额无息予以退还。</w:t>
      </w:r>
    </w:p>
    <w:p>
      <w:pPr>
        <w:numPr>
          <w:ilvl w:val="0"/>
          <w:numId w:val="7"/>
        </w:numPr>
        <w:rPr>
          <w:rFonts w:ascii="宋体" w:hAnsi="宋体"/>
          <w:szCs w:val="21"/>
        </w:rPr>
      </w:pPr>
      <w:r>
        <w:rPr>
          <w:rFonts w:hint="eastAsia" w:ascii="宋体" w:hAnsi="宋体"/>
          <w:color w:val="000000"/>
          <w:szCs w:val="21"/>
        </w:rPr>
        <w:t>受让方应按照竞买报名时其所提交并经组织人确认的《产权受让申请登记文件》中承诺的比例和时间向组织人</w:t>
      </w:r>
      <w:r>
        <w:rPr>
          <w:rFonts w:hint="eastAsia" w:ascii="宋体" w:hAnsi="宋体"/>
          <w:color w:val="000000"/>
          <w:spacing w:val="-4"/>
          <w:szCs w:val="21"/>
        </w:rPr>
        <w:t>交纳服务费</w:t>
      </w:r>
      <w:r>
        <w:rPr>
          <w:rFonts w:hint="eastAsia" w:ascii="宋体" w:hAnsi="宋体"/>
          <w:szCs w:val="21"/>
        </w:rPr>
        <w:t>。</w:t>
      </w:r>
    </w:p>
    <w:p>
      <w:pPr>
        <w:numPr>
          <w:ilvl w:val="0"/>
          <w:numId w:val="7"/>
        </w:numPr>
        <w:rPr>
          <w:rFonts w:ascii="宋体" w:hAnsi="宋体"/>
          <w:szCs w:val="21"/>
        </w:rPr>
      </w:pPr>
      <w:r>
        <w:rPr>
          <w:rFonts w:hint="eastAsia" w:ascii="宋体" w:hAnsi="宋体"/>
          <w:szCs w:val="21"/>
        </w:rPr>
        <w:t>受让方应按产权交易合同的有关约定支付转让价款，否则应按产权交易合同的约定承担违约责任。</w:t>
      </w:r>
      <w:r>
        <w:rPr>
          <w:rFonts w:hint="eastAsia"/>
        </w:rPr>
        <w:t>组织人在收到受让方支付的转让价款后向受让方出具收款凭证</w:t>
      </w:r>
      <w:r>
        <w:rPr>
          <w:rFonts w:hint="eastAsia" w:ascii="宋体" w:hAnsi="宋体"/>
          <w:szCs w:val="21"/>
        </w:rPr>
        <w:t xml:space="preserve">（收据）。    </w:t>
      </w:r>
    </w:p>
    <w:p>
      <w:pPr>
        <w:numPr>
          <w:ilvl w:val="0"/>
          <w:numId w:val="5"/>
        </w:numPr>
        <w:rPr>
          <w:rFonts w:ascii="宋体" w:hAnsi="宋体"/>
          <w:szCs w:val="21"/>
        </w:rPr>
      </w:pPr>
      <w:r>
        <w:rPr>
          <w:rFonts w:hint="eastAsia" w:ascii="宋体" w:hAnsi="宋体"/>
          <w:szCs w:val="21"/>
        </w:rPr>
        <w:t>标的相关情况</w:t>
      </w:r>
    </w:p>
    <w:p>
      <w:pPr>
        <w:numPr>
          <w:ilvl w:val="2"/>
          <w:numId w:val="11"/>
        </w:numPr>
        <w:rPr>
          <w:rFonts w:ascii="宋体" w:hAnsi="宋体"/>
          <w:color w:val="000000"/>
          <w:szCs w:val="21"/>
        </w:rPr>
      </w:pPr>
      <w:r>
        <w:rPr>
          <w:rFonts w:hint="eastAsia" w:ascii="宋体" w:hAnsi="宋体"/>
          <w:szCs w:val="21"/>
        </w:rPr>
        <w:t>标的简</w:t>
      </w:r>
      <w:r>
        <w:rPr>
          <w:rFonts w:hint="eastAsia" w:ascii="宋体" w:hAnsi="宋体"/>
          <w:color w:val="000000"/>
          <w:szCs w:val="21"/>
        </w:rPr>
        <w:t>介(部分内容摘自评估报告等相关材料)</w:t>
      </w:r>
    </w:p>
    <w:p>
      <w:pPr>
        <w:numPr>
          <w:ilvl w:val="0"/>
          <w:numId w:val="12"/>
        </w:numPr>
        <w:rPr>
          <w:rFonts w:ascii="宋体" w:hAnsi="宋体"/>
          <w:color w:val="000000"/>
          <w:szCs w:val="21"/>
        </w:rPr>
      </w:pPr>
      <w:r>
        <w:rPr>
          <w:rFonts w:hint="eastAsia" w:ascii="宋体" w:hAnsi="宋体"/>
          <w:color w:val="000000"/>
          <w:szCs w:val="21"/>
        </w:rPr>
        <w:t>公司名称：衢州</w:t>
      </w:r>
      <w:r>
        <w:rPr>
          <w:rFonts w:hint="eastAsia" w:ascii="宋体" w:hAnsi="宋体"/>
          <w:color w:val="000000"/>
          <w:szCs w:val="21"/>
          <w:lang w:eastAsia="zh-CN"/>
        </w:rPr>
        <w:t>衢海百川资产管理有限公司</w:t>
      </w:r>
      <w:r>
        <w:rPr>
          <w:rFonts w:hint="eastAsia" w:ascii="宋体" w:hAnsi="宋体"/>
          <w:color w:val="000000"/>
          <w:szCs w:val="21"/>
        </w:rPr>
        <w:t>；住所：浙江省衢州市柯城区</w:t>
      </w:r>
      <w:r>
        <w:rPr>
          <w:rFonts w:hint="eastAsia" w:ascii="宋体" w:hAnsi="宋体"/>
          <w:color w:val="000000"/>
          <w:szCs w:val="21"/>
          <w:lang w:eastAsia="zh-CN"/>
        </w:rPr>
        <w:t>花园东大道</w:t>
      </w:r>
      <w:r>
        <w:rPr>
          <w:rFonts w:hint="eastAsia" w:ascii="宋体" w:hAnsi="宋体"/>
          <w:color w:val="000000"/>
          <w:szCs w:val="21"/>
          <w:lang w:val="en-US" w:eastAsia="zh-CN"/>
        </w:rPr>
        <w:t>258号3幢201室</w:t>
      </w:r>
    </w:p>
    <w:p>
      <w:pPr>
        <w:numPr>
          <w:ilvl w:val="0"/>
          <w:numId w:val="12"/>
        </w:numPr>
        <w:rPr>
          <w:rFonts w:ascii="宋体" w:hAnsi="宋体"/>
          <w:color w:val="000000"/>
          <w:szCs w:val="21"/>
        </w:rPr>
      </w:pPr>
      <w:r>
        <w:rPr>
          <w:rFonts w:hint="eastAsia" w:ascii="宋体" w:hAnsi="宋体"/>
          <w:color w:val="000000"/>
          <w:szCs w:val="21"/>
        </w:rPr>
        <w:t>法定代表人：</w:t>
      </w:r>
      <w:r>
        <w:rPr>
          <w:rFonts w:hint="eastAsia" w:ascii="宋体" w:hAnsi="宋体"/>
          <w:color w:val="000000"/>
          <w:szCs w:val="21"/>
          <w:lang w:eastAsia="zh-CN"/>
        </w:rPr>
        <w:t>胡晓振</w:t>
      </w:r>
      <w:r>
        <w:rPr>
          <w:rFonts w:hint="eastAsia" w:ascii="宋体" w:hAnsi="宋体"/>
          <w:color w:val="000000"/>
          <w:szCs w:val="21"/>
        </w:rPr>
        <w:t>，注册资本：</w:t>
      </w:r>
      <w:r>
        <w:rPr>
          <w:rFonts w:hint="eastAsia" w:ascii="宋体" w:hAnsi="宋体"/>
          <w:color w:val="000000"/>
          <w:szCs w:val="21"/>
          <w:lang w:eastAsia="zh-CN"/>
        </w:rPr>
        <w:t>壹仟</w:t>
      </w:r>
      <w:r>
        <w:rPr>
          <w:rFonts w:hint="eastAsia" w:ascii="宋体" w:hAnsi="宋体"/>
          <w:color w:val="000000"/>
          <w:szCs w:val="21"/>
        </w:rPr>
        <w:t>万元整</w:t>
      </w:r>
    </w:p>
    <w:p>
      <w:pPr>
        <w:numPr>
          <w:ilvl w:val="0"/>
          <w:numId w:val="12"/>
        </w:numPr>
        <w:rPr>
          <w:rFonts w:ascii="宋体" w:hAnsi="宋体"/>
          <w:color w:val="000000"/>
          <w:szCs w:val="21"/>
        </w:rPr>
      </w:pPr>
      <w:r>
        <w:rPr>
          <w:rFonts w:hint="eastAsia" w:ascii="宋体" w:hAnsi="宋体"/>
          <w:color w:val="000000"/>
          <w:szCs w:val="21"/>
        </w:rPr>
        <w:t>公司类型：</w:t>
      </w:r>
      <w:r>
        <w:rPr>
          <w:rFonts w:hint="eastAsia" w:ascii="宋体" w:hAnsi="宋体"/>
          <w:color w:val="000000"/>
          <w:szCs w:val="21"/>
          <w:lang w:eastAsia="zh-CN"/>
        </w:rPr>
        <w:t>其他</w:t>
      </w:r>
      <w:r>
        <w:rPr>
          <w:rFonts w:hint="eastAsia" w:ascii="宋体" w:hAnsi="宋体"/>
          <w:color w:val="000000"/>
          <w:szCs w:val="21"/>
        </w:rPr>
        <w:t>有限责任公司，</w:t>
      </w:r>
      <w:r>
        <w:rPr>
          <w:rFonts w:hint="eastAsia" w:ascii="宋体" w:hAnsi="宋体"/>
          <w:color w:val="000000"/>
          <w:szCs w:val="21"/>
          <w:lang w:eastAsia="zh-CN"/>
        </w:rPr>
        <w:t>统一社会信用代码</w:t>
      </w:r>
      <w:r>
        <w:rPr>
          <w:rFonts w:hint="eastAsia" w:ascii="宋体" w:hAnsi="宋体"/>
          <w:color w:val="000000"/>
          <w:szCs w:val="21"/>
        </w:rPr>
        <w:t>：91330802MA2</w:t>
      </w:r>
      <w:r>
        <w:rPr>
          <w:rFonts w:hint="eastAsia" w:ascii="宋体" w:hAnsi="宋体"/>
          <w:color w:val="000000"/>
          <w:szCs w:val="21"/>
          <w:lang w:val="en-US" w:eastAsia="zh-CN"/>
        </w:rPr>
        <w:t>8F70762</w:t>
      </w:r>
    </w:p>
    <w:p>
      <w:pPr>
        <w:numPr>
          <w:ilvl w:val="0"/>
          <w:numId w:val="12"/>
        </w:numPr>
        <w:rPr>
          <w:rFonts w:ascii="宋体" w:hAnsi="宋体"/>
          <w:color w:val="000000"/>
          <w:szCs w:val="21"/>
        </w:rPr>
      </w:pPr>
      <w:r>
        <w:rPr>
          <w:rFonts w:hint="eastAsia" w:ascii="宋体" w:hAnsi="宋体"/>
          <w:color w:val="000000"/>
          <w:szCs w:val="21"/>
        </w:rPr>
        <w:t>经营范围：</w:t>
      </w:r>
      <w:r>
        <w:rPr>
          <w:rFonts w:hint="eastAsia" w:ascii="宋体" w:hAnsi="宋体"/>
          <w:color w:val="000000"/>
          <w:szCs w:val="21"/>
          <w:lang w:eastAsia="zh-CN"/>
        </w:rPr>
        <w:t>资产管理，企业管理咨询，企业形象策划，投资管理，投资咨询，财务咨询，物业管理服务，房屋租赁代理服务。（未经金融等监管部门批准，不得从事向公众融资存款、融资担保、代客理财等金融服务）</w:t>
      </w:r>
      <w:r>
        <w:rPr>
          <w:rFonts w:hint="eastAsia" w:ascii="宋体" w:hAnsi="宋体"/>
          <w:color w:val="000000"/>
          <w:szCs w:val="21"/>
        </w:rPr>
        <w:t>（依法须经批准的项目，经相关部门批准后方可开展经营活动）</w:t>
      </w:r>
    </w:p>
    <w:p>
      <w:pPr>
        <w:numPr>
          <w:ilvl w:val="0"/>
          <w:numId w:val="12"/>
        </w:numPr>
        <w:rPr>
          <w:color w:val="000000"/>
          <w:sz w:val="23"/>
          <w:szCs w:val="23"/>
        </w:rPr>
      </w:pPr>
      <w:r>
        <w:rPr>
          <w:rFonts w:hint="eastAsia" w:ascii="宋体" w:hAnsi="宋体"/>
          <w:color w:val="000000"/>
          <w:szCs w:val="21"/>
        </w:rPr>
        <w:t>根据衢州市市场监督管理局出具《股权变更登记》显示：截止</w:t>
      </w:r>
      <w:r>
        <w:rPr>
          <w:rFonts w:hint="eastAsia" w:ascii="宋体" w:hAnsi="宋体"/>
          <w:color w:val="000000"/>
          <w:szCs w:val="21"/>
          <w:u w:val="single"/>
        </w:rPr>
        <w:t>2019</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lang w:val="en-US" w:eastAsia="zh-CN"/>
        </w:rPr>
        <w:t>4</w:t>
      </w:r>
      <w:r>
        <w:rPr>
          <w:rFonts w:hint="eastAsia" w:ascii="宋体" w:hAnsi="宋体"/>
          <w:color w:val="000000"/>
          <w:szCs w:val="21"/>
        </w:rPr>
        <w:t>月</w:t>
      </w:r>
      <w:r>
        <w:rPr>
          <w:rFonts w:hint="eastAsia" w:ascii="宋体" w:hAnsi="宋体"/>
          <w:color w:val="000000"/>
          <w:szCs w:val="21"/>
          <w:u w:val="single"/>
        </w:rPr>
        <w:t>15</w:t>
      </w:r>
      <w:r>
        <w:rPr>
          <w:rFonts w:hint="eastAsia" w:ascii="宋体" w:hAnsi="宋体"/>
          <w:color w:val="000000"/>
          <w:szCs w:val="21"/>
        </w:rPr>
        <w:t>日，</w:t>
      </w:r>
      <w:r>
        <w:rPr>
          <w:rFonts w:hint="eastAsia"/>
          <w:color w:val="000000"/>
          <w:szCs w:val="21"/>
        </w:rPr>
        <w:t>标的公司前三位</w:t>
      </w:r>
      <w:r>
        <w:rPr>
          <w:rFonts w:hint="eastAsia" w:ascii="宋体" w:hAnsi="宋体"/>
          <w:color w:val="000000"/>
          <w:szCs w:val="21"/>
        </w:rPr>
        <w:t>股权结构如下表所示：</w:t>
      </w:r>
    </w:p>
    <w:p>
      <w:pPr>
        <w:rPr>
          <w:color w:val="FF0000"/>
          <w:sz w:val="23"/>
          <w:szCs w:val="23"/>
        </w:rPr>
      </w:pPr>
    </w:p>
    <w:tbl>
      <w:tblPr>
        <w:tblStyle w:val="22"/>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10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959" w:type="dxa"/>
            <w:vAlign w:val="center"/>
          </w:tcPr>
          <w:p>
            <w:pPr>
              <w:jc w:val="center"/>
              <w:rPr>
                <w:rFonts w:ascii="宋体" w:hAnsi="宋体" w:cs="宋体"/>
                <w:bCs/>
                <w:color w:val="000000"/>
                <w:szCs w:val="21"/>
              </w:rPr>
            </w:pPr>
            <w:r>
              <w:rPr>
                <w:rFonts w:hint="eastAsia" w:ascii="宋体" w:hAnsi="宋体"/>
                <w:bCs/>
                <w:color w:val="000000"/>
                <w:szCs w:val="21"/>
              </w:rPr>
              <w:t>序号</w:t>
            </w:r>
          </w:p>
        </w:tc>
        <w:tc>
          <w:tcPr>
            <w:tcW w:w="5103" w:type="dxa"/>
            <w:vAlign w:val="center"/>
          </w:tcPr>
          <w:p>
            <w:pPr>
              <w:jc w:val="center"/>
              <w:rPr>
                <w:rFonts w:ascii="宋体" w:hAnsi="宋体" w:cs="宋体"/>
                <w:bCs/>
                <w:color w:val="000000"/>
                <w:szCs w:val="21"/>
              </w:rPr>
            </w:pPr>
            <w:r>
              <w:rPr>
                <w:rFonts w:hint="eastAsia" w:ascii="宋体" w:hAnsi="宋体"/>
                <w:bCs/>
                <w:color w:val="000000"/>
                <w:szCs w:val="21"/>
              </w:rPr>
              <w:t>股东名称</w:t>
            </w:r>
          </w:p>
        </w:tc>
        <w:tc>
          <w:tcPr>
            <w:tcW w:w="1984" w:type="dxa"/>
            <w:vAlign w:val="center"/>
          </w:tcPr>
          <w:p>
            <w:pPr>
              <w:jc w:val="center"/>
              <w:rPr>
                <w:rFonts w:ascii="宋体" w:hAnsi="宋体"/>
                <w:bCs/>
                <w:color w:val="000000"/>
                <w:szCs w:val="21"/>
              </w:rPr>
            </w:pPr>
            <w:r>
              <w:rPr>
                <w:rFonts w:hint="eastAsia" w:ascii="宋体" w:hAnsi="宋体"/>
                <w:bCs/>
                <w:color w:val="000000"/>
                <w:szCs w:val="21"/>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959" w:type="dxa"/>
            <w:vAlign w:val="center"/>
          </w:tcPr>
          <w:p>
            <w:pPr>
              <w:jc w:val="center"/>
              <w:rPr>
                <w:rFonts w:ascii="宋体" w:hAnsi="宋体" w:cs="宋体"/>
                <w:bCs/>
                <w:color w:val="000000"/>
                <w:szCs w:val="21"/>
              </w:rPr>
            </w:pPr>
            <w:r>
              <w:rPr>
                <w:rFonts w:hint="eastAsia" w:ascii="宋体" w:hAnsi="宋体"/>
                <w:bCs/>
                <w:color w:val="000000"/>
                <w:szCs w:val="21"/>
              </w:rPr>
              <w:t>1</w:t>
            </w:r>
          </w:p>
        </w:tc>
        <w:tc>
          <w:tcPr>
            <w:tcW w:w="5103" w:type="dxa"/>
            <w:vAlign w:val="center"/>
          </w:tcPr>
          <w:p>
            <w:pPr>
              <w:ind w:left="420"/>
              <w:jc w:val="center"/>
              <w:rPr>
                <w:rFonts w:hint="eastAsia" w:ascii="宋体" w:hAnsi="宋体" w:eastAsia="宋体"/>
                <w:color w:val="000000"/>
                <w:szCs w:val="21"/>
                <w:lang w:eastAsia="zh-CN"/>
              </w:rPr>
            </w:pPr>
            <w:r>
              <w:rPr>
                <w:rFonts w:hint="eastAsia" w:ascii="宋体" w:hAnsi="宋体"/>
                <w:color w:val="000000"/>
                <w:szCs w:val="21"/>
                <w:lang w:eastAsia="zh-CN"/>
              </w:rPr>
              <w:t>杭州清科一百一资产管理有限公司</w:t>
            </w:r>
          </w:p>
        </w:tc>
        <w:tc>
          <w:tcPr>
            <w:tcW w:w="1984" w:type="dxa"/>
            <w:vAlign w:val="center"/>
          </w:tcPr>
          <w:p>
            <w:pPr>
              <w:jc w:val="center"/>
              <w:rPr>
                <w:rFonts w:ascii="宋体" w:hAnsi="宋体"/>
                <w:bCs/>
                <w:color w:val="000000"/>
                <w:szCs w:val="21"/>
              </w:rPr>
            </w:pPr>
            <w:r>
              <w:rPr>
                <w:rFonts w:hint="eastAsia" w:ascii="宋体" w:hAnsi="宋体"/>
                <w:bCs/>
                <w:color w:val="000000"/>
                <w:szCs w:val="21"/>
                <w:lang w:val="en-US" w:eastAsia="zh-CN"/>
              </w:rPr>
              <w:t>6</w:t>
            </w:r>
            <w:r>
              <w:rPr>
                <w:rFonts w:hint="eastAsia" w:ascii="宋体" w:hAnsi="宋体"/>
                <w:bCs/>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959" w:type="dxa"/>
            <w:vAlign w:val="center"/>
          </w:tcPr>
          <w:p>
            <w:pPr>
              <w:jc w:val="center"/>
              <w:rPr>
                <w:rFonts w:ascii="宋体" w:hAnsi="宋体" w:cs="宋体"/>
                <w:bCs/>
                <w:color w:val="000000"/>
                <w:szCs w:val="21"/>
              </w:rPr>
            </w:pPr>
            <w:r>
              <w:rPr>
                <w:rFonts w:hint="eastAsia" w:ascii="宋体" w:hAnsi="宋体"/>
                <w:bCs/>
                <w:color w:val="000000"/>
                <w:szCs w:val="21"/>
              </w:rPr>
              <w:t>2</w:t>
            </w:r>
          </w:p>
        </w:tc>
        <w:tc>
          <w:tcPr>
            <w:tcW w:w="5103" w:type="dxa"/>
            <w:vAlign w:val="center"/>
          </w:tcPr>
          <w:p>
            <w:pPr>
              <w:ind w:left="420"/>
              <w:jc w:val="center"/>
              <w:rPr>
                <w:rFonts w:hint="eastAsia" w:ascii="宋体" w:hAnsi="宋体" w:eastAsia="宋体"/>
                <w:color w:val="000000"/>
                <w:szCs w:val="21"/>
                <w:lang w:eastAsia="zh-CN"/>
              </w:rPr>
            </w:pPr>
            <w:r>
              <w:rPr>
                <w:rFonts w:hint="eastAsia" w:ascii="宋体" w:hAnsi="宋体"/>
                <w:color w:val="000000"/>
                <w:szCs w:val="21"/>
                <w:lang w:eastAsia="zh-CN"/>
              </w:rPr>
              <w:t>衢州市金融控股集团有限公司</w:t>
            </w:r>
          </w:p>
        </w:tc>
        <w:tc>
          <w:tcPr>
            <w:tcW w:w="1984" w:type="dxa"/>
            <w:vAlign w:val="center"/>
          </w:tcPr>
          <w:p>
            <w:pPr>
              <w:jc w:val="center"/>
              <w:rPr>
                <w:rFonts w:hint="eastAsia" w:ascii="宋体" w:hAnsi="宋体" w:eastAsia="宋体"/>
                <w:bCs/>
                <w:color w:val="000000"/>
                <w:szCs w:val="21"/>
                <w:lang w:val="en-US" w:eastAsia="zh-CN"/>
              </w:rPr>
            </w:pPr>
            <w:r>
              <w:rPr>
                <w:rFonts w:hint="eastAsia" w:ascii="宋体" w:hAnsi="宋体"/>
                <w:bCs/>
                <w:color w:val="000000"/>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959" w:type="dxa"/>
            <w:vAlign w:val="center"/>
          </w:tcPr>
          <w:p>
            <w:pPr>
              <w:jc w:val="center"/>
              <w:rPr>
                <w:rFonts w:ascii="宋体" w:hAnsi="宋体" w:cs="宋体"/>
                <w:bCs/>
                <w:color w:val="000000"/>
                <w:szCs w:val="21"/>
              </w:rPr>
            </w:pPr>
            <w:r>
              <w:rPr>
                <w:rFonts w:hint="eastAsia" w:ascii="宋体" w:hAnsi="宋体"/>
                <w:bCs/>
                <w:color w:val="000000"/>
                <w:szCs w:val="21"/>
              </w:rPr>
              <w:t>3</w:t>
            </w:r>
          </w:p>
        </w:tc>
        <w:tc>
          <w:tcPr>
            <w:tcW w:w="5103" w:type="dxa"/>
            <w:vAlign w:val="center"/>
          </w:tcPr>
          <w:p>
            <w:pPr>
              <w:ind w:left="420"/>
              <w:jc w:val="center"/>
              <w:rPr>
                <w:rFonts w:ascii="宋体" w:hAnsi="宋体"/>
                <w:color w:val="000000"/>
                <w:szCs w:val="21"/>
              </w:rPr>
            </w:pPr>
          </w:p>
        </w:tc>
        <w:tc>
          <w:tcPr>
            <w:tcW w:w="1984" w:type="dxa"/>
            <w:vAlign w:val="center"/>
          </w:tcPr>
          <w:p>
            <w:pPr>
              <w:jc w:val="center"/>
              <w:rPr>
                <w:rFonts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 w:hRule="atLeast"/>
        </w:trPr>
        <w:tc>
          <w:tcPr>
            <w:tcW w:w="6062" w:type="dxa"/>
            <w:gridSpan w:val="2"/>
            <w:vAlign w:val="center"/>
          </w:tcPr>
          <w:p>
            <w:pPr>
              <w:jc w:val="center"/>
              <w:rPr>
                <w:rFonts w:ascii="宋体" w:hAnsi="宋体"/>
                <w:bCs/>
                <w:color w:val="000000"/>
                <w:szCs w:val="21"/>
              </w:rPr>
            </w:pPr>
            <w:r>
              <w:rPr>
                <w:rFonts w:hint="eastAsia" w:ascii="宋体" w:hAnsi="宋体"/>
                <w:bCs/>
                <w:color w:val="000000"/>
                <w:szCs w:val="21"/>
              </w:rPr>
              <w:t>合计</w:t>
            </w:r>
          </w:p>
        </w:tc>
        <w:tc>
          <w:tcPr>
            <w:tcW w:w="1984" w:type="dxa"/>
            <w:vAlign w:val="center"/>
          </w:tcPr>
          <w:p>
            <w:pPr>
              <w:jc w:val="center"/>
              <w:rPr>
                <w:rFonts w:ascii="宋体" w:hAnsi="宋体"/>
                <w:bCs/>
                <w:color w:val="000000"/>
                <w:szCs w:val="21"/>
              </w:rPr>
            </w:pPr>
            <w:r>
              <w:rPr>
                <w:rFonts w:hint="eastAsia" w:ascii="宋体" w:hAnsi="宋体"/>
                <w:bCs/>
                <w:color w:val="000000"/>
                <w:szCs w:val="21"/>
              </w:rPr>
              <w:t>100%</w:t>
            </w:r>
          </w:p>
        </w:tc>
      </w:tr>
    </w:tbl>
    <w:p>
      <w:pPr>
        <w:autoSpaceDE w:val="0"/>
        <w:autoSpaceDN w:val="0"/>
        <w:adjustRightInd w:val="0"/>
        <w:ind w:firstLine="408"/>
        <w:jc w:val="left"/>
        <w:rPr>
          <w:rFonts w:ascii="宋体" w:hAnsi="宋体"/>
          <w:szCs w:val="21"/>
        </w:rPr>
      </w:pPr>
    </w:p>
    <w:p>
      <w:pPr>
        <w:numPr>
          <w:ilvl w:val="2"/>
          <w:numId w:val="11"/>
        </w:numPr>
        <w:rPr>
          <w:rFonts w:ascii="宋体" w:hAnsi="宋体"/>
          <w:szCs w:val="21"/>
        </w:rPr>
      </w:pPr>
      <w:r>
        <w:rPr>
          <w:rFonts w:hint="eastAsia" w:ascii="宋体" w:hAnsi="宋体"/>
          <w:szCs w:val="21"/>
        </w:rPr>
        <w:t>特别事项说明（部分内容摘自评估报告等相关材料）</w:t>
      </w:r>
    </w:p>
    <w:p>
      <w:pPr>
        <w:autoSpaceDE w:val="0"/>
        <w:autoSpaceDN w:val="0"/>
        <w:adjustRightInd w:val="0"/>
        <w:rPr>
          <w:rFonts w:ascii="宋体" w:hAnsi="宋体"/>
          <w:color w:val="000000"/>
        </w:rPr>
      </w:pPr>
      <w:r>
        <w:rPr>
          <w:rFonts w:hint="eastAsia" w:ascii="宋体" w:hAnsi="宋体"/>
        </w:rPr>
        <w:t xml:space="preserve">    </w:t>
      </w:r>
      <w:r>
        <w:rPr>
          <w:rFonts w:hint="eastAsia" w:ascii="宋体" w:hAnsi="宋体"/>
          <w:color w:val="000000"/>
        </w:rPr>
        <w:t>本次评估结论是反映评估对象在本次评估目的下，根据公开市场原则确定的现行公允市价，没有考虑特殊的交易方可能追加付出的价格等对评估价格的影响；同时，本报告也未考虑国家宏观经济政策发生变化以及遇有自然力和其他不可抗力对资产价格的影响。</w:t>
      </w:r>
    </w:p>
    <w:p>
      <w:pPr>
        <w:numPr>
          <w:ilvl w:val="2"/>
          <w:numId w:val="11"/>
        </w:numPr>
      </w:pPr>
      <w:r>
        <w:rPr>
          <w:rFonts w:hint="eastAsia"/>
        </w:rPr>
        <w:t>其他重要事项说明</w:t>
      </w:r>
    </w:p>
    <w:p>
      <w:pPr>
        <w:numPr>
          <w:ilvl w:val="0"/>
          <w:numId w:val="13"/>
        </w:numPr>
        <w:autoSpaceDE w:val="0"/>
        <w:autoSpaceDN w:val="0"/>
        <w:adjustRightInd w:val="0"/>
        <w:rPr>
          <w:rFonts w:ascii="宋体" w:hAnsi="宋体"/>
          <w:szCs w:val="21"/>
        </w:rPr>
      </w:pPr>
      <w:r>
        <w:rPr>
          <w:rFonts w:hint="eastAsia" w:ascii="宋体" w:hAnsi="宋体"/>
          <w:szCs w:val="21"/>
        </w:rPr>
        <w:t>本次转让不涉及向</w:t>
      </w:r>
      <w:r>
        <w:rPr>
          <w:rFonts w:hint="eastAsia" w:ascii="宋体" w:hAnsi="宋体"/>
          <w:szCs w:val="21"/>
          <w:lang w:eastAsia="zh-CN"/>
        </w:rPr>
        <w:t>持股公司</w:t>
      </w:r>
      <w:r>
        <w:rPr>
          <w:rFonts w:ascii="宋体" w:hAnsi="宋体"/>
          <w:szCs w:val="21"/>
        </w:rPr>
        <w:t>管理层</w:t>
      </w:r>
      <w:r>
        <w:rPr>
          <w:rFonts w:hint="eastAsia" w:ascii="宋体" w:hAnsi="宋体"/>
          <w:szCs w:val="21"/>
        </w:rPr>
        <w:t>转让</w:t>
      </w:r>
      <w:r>
        <w:rPr>
          <w:rFonts w:ascii="宋体" w:hAnsi="宋体"/>
          <w:szCs w:val="21"/>
        </w:rPr>
        <w:t>。</w:t>
      </w:r>
    </w:p>
    <w:p>
      <w:pPr>
        <w:numPr>
          <w:ilvl w:val="0"/>
          <w:numId w:val="13"/>
        </w:numPr>
        <w:autoSpaceDE w:val="0"/>
        <w:autoSpaceDN w:val="0"/>
        <w:adjustRightInd w:val="0"/>
      </w:pPr>
      <w:r>
        <w:rPr>
          <w:rFonts w:hint="eastAsia"/>
        </w:rPr>
        <w:t>有关</w:t>
      </w:r>
      <w:r>
        <w:rPr>
          <w:rFonts w:hint="eastAsia" w:ascii="宋体" w:hAnsi="宋体"/>
          <w:szCs w:val="21"/>
        </w:rPr>
        <w:t>标的公司</w:t>
      </w:r>
      <w:r>
        <w:rPr>
          <w:rFonts w:hint="eastAsia"/>
        </w:rPr>
        <w:t>其他具体情况详见审计、评估机构出具的相应《审计报告》、《评估报告》等。</w:t>
      </w:r>
    </w:p>
    <w:p>
      <w:pPr>
        <w:numPr>
          <w:ilvl w:val="0"/>
          <w:numId w:val="5"/>
        </w:numPr>
        <w:rPr>
          <w:szCs w:val="21"/>
        </w:rPr>
      </w:pPr>
      <w:r>
        <w:rPr>
          <w:rFonts w:hint="eastAsia"/>
          <w:szCs w:val="21"/>
        </w:rPr>
        <w:t>特别约定</w:t>
      </w:r>
    </w:p>
    <w:p>
      <w:pPr>
        <w:ind w:firstLine="420" w:firstLineChars="200"/>
        <w:rPr>
          <w:rFonts w:ascii="宋体" w:hAnsi="宋体"/>
          <w:color w:val="000000"/>
          <w:u w:val="single"/>
        </w:rPr>
      </w:pPr>
      <w:r>
        <w:rPr>
          <w:rFonts w:hint="eastAsia"/>
        </w:rPr>
        <w:t>1.</w:t>
      </w:r>
    </w:p>
    <w:p>
      <w:pPr>
        <w:ind w:firstLine="420" w:firstLineChars="200"/>
        <w:rPr>
          <w:szCs w:val="21"/>
        </w:rPr>
      </w:pPr>
      <w:r>
        <w:rPr>
          <w:rFonts w:hint="eastAsia"/>
          <w:szCs w:val="21"/>
        </w:rPr>
        <w:t>A</w:t>
      </w:r>
      <w:r>
        <w:rPr>
          <w:szCs w:val="21"/>
        </w:rPr>
        <w:t>、主要交易条件：</w:t>
      </w:r>
    </w:p>
    <w:p>
      <w:pPr>
        <w:numPr>
          <w:ilvl w:val="0"/>
          <w:numId w:val="14"/>
        </w:numPr>
        <w:autoSpaceDE w:val="0"/>
        <w:autoSpaceDN w:val="0"/>
        <w:adjustRightInd w:val="0"/>
        <w:rPr>
          <w:szCs w:val="21"/>
        </w:rPr>
      </w:pPr>
      <w:r>
        <w:rPr>
          <w:rFonts w:hint="eastAsia"/>
          <w:szCs w:val="21"/>
        </w:rPr>
        <w:t>挂牌价格：</w:t>
      </w:r>
      <w:r>
        <w:rPr>
          <w:rFonts w:hint="eastAsia"/>
          <w:szCs w:val="21"/>
          <w:lang w:val="en-US" w:eastAsia="zh-CN"/>
        </w:rPr>
        <w:t>40</w:t>
      </w:r>
      <w:r>
        <w:rPr>
          <w:rFonts w:hint="eastAsia"/>
          <w:szCs w:val="21"/>
        </w:rPr>
        <w:t>万元。</w:t>
      </w:r>
    </w:p>
    <w:p>
      <w:pPr>
        <w:numPr>
          <w:ilvl w:val="0"/>
          <w:numId w:val="14"/>
        </w:numPr>
        <w:autoSpaceDE w:val="0"/>
        <w:autoSpaceDN w:val="0"/>
        <w:adjustRightInd w:val="0"/>
        <w:rPr>
          <w:szCs w:val="21"/>
        </w:rPr>
      </w:pPr>
      <w:r>
        <w:rPr>
          <w:rFonts w:hint="eastAsia"/>
          <w:szCs w:val="21"/>
        </w:rPr>
        <w:t>付款方式：</w:t>
      </w:r>
      <w:r>
        <w:rPr>
          <w:rFonts w:hint="eastAsia"/>
          <w:color w:val="FF0000"/>
          <w:szCs w:val="21"/>
        </w:rPr>
        <w:t>合同生效之日起</w:t>
      </w:r>
      <w:r>
        <w:rPr>
          <w:rFonts w:hint="eastAsia"/>
          <w:color w:val="FF0000"/>
          <w:szCs w:val="21"/>
          <w:lang w:val="en-US" w:eastAsia="zh-CN"/>
        </w:rPr>
        <w:t>5</w:t>
      </w:r>
      <w:r>
        <w:rPr>
          <w:rFonts w:hint="eastAsia"/>
          <w:color w:val="FF0000"/>
          <w:szCs w:val="21"/>
        </w:rPr>
        <w:t>个工作日内一次性付款。</w:t>
      </w:r>
    </w:p>
    <w:p>
      <w:pPr>
        <w:numPr>
          <w:ilvl w:val="0"/>
          <w:numId w:val="14"/>
        </w:numPr>
        <w:autoSpaceDE w:val="0"/>
        <w:autoSpaceDN w:val="0"/>
        <w:adjustRightInd w:val="0"/>
        <w:rPr>
          <w:color w:val="FF0000"/>
          <w:szCs w:val="21"/>
        </w:rPr>
      </w:pPr>
      <w:r>
        <w:rPr>
          <w:rFonts w:hint="eastAsia"/>
          <w:szCs w:val="21"/>
        </w:rPr>
        <w:t>意向受让方自衢州市产权交易中心有限公司发出资格确认函后</w:t>
      </w:r>
      <w:r>
        <w:rPr>
          <w:rFonts w:hint="eastAsia"/>
          <w:color w:val="FF0000"/>
          <w:szCs w:val="21"/>
        </w:rPr>
        <w:t>2个</w:t>
      </w:r>
      <w:r>
        <w:rPr>
          <w:rFonts w:hint="eastAsia"/>
          <w:szCs w:val="21"/>
        </w:rPr>
        <w:t>工作日内应交纳</w:t>
      </w:r>
      <w:r>
        <w:rPr>
          <w:rFonts w:hint="eastAsia"/>
          <w:szCs w:val="21"/>
          <w:lang w:eastAsia="zh-CN"/>
        </w:rPr>
        <w:t>捌</w:t>
      </w:r>
      <w:r>
        <w:rPr>
          <w:rFonts w:hint="eastAsia"/>
          <w:szCs w:val="21"/>
        </w:rPr>
        <w:t>万元</w:t>
      </w:r>
      <w:r>
        <w:rPr>
          <w:rFonts w:hint="eastAsia"/>
          <w:szCs w:val="21"/>
          <w:lang w:eastAsia="zh-CN"/>
        </w:rPr>
        <w:t>人民币</w:t>
      </w:r>
      <w:r>
        <w:rPr>
          <w:rFonts w:hint="eastAsia"/>
          <w:szCs w:val="21"/>
        </w:rPr>
        <w:t>竞买保证金至衢州市产权交易中心有限公司指定账户，意向受让方在规定时间内交纳全部竞买保证金后获得参与竞价交易资格。</w:t>
      </w:r>
      <w:r>
        <w:rPr>
          <w:rFonts w:hint="eastAsia"/>
          <w:color w:val="FF0000"/>
          <w:szCs w:val="21"/>
        </w:rPr>
        <w:t>产权交易合同签订后，受让方交纳的竞买保证金则转为转让价款的组成部分。</w:t>
      </w:r>
    </w:p>
    <w:p>
      <w:pPr>
        <w:numPr>
          <w:ilvl w:val="0"/>
          <w:numId w:val="14"/>
        </w:numPr>
        <w:autoSpaceDE w:val="0"/>
        <w:autoSpaceDN w:val="0"/>
        <w:adjustRightInd w:val="0"/>
        <w:rPr>
          <w:szCs w:val="21"/>
        </w:rPr>
      </w:pPr>
      <w:r>
        <w:rPr>
          <w:rFonts w:hint="eastAsia"/>
          <w:szCs w:val="21"/>
        </w:rPr>
        <w:t>产权转让涉及的债权债务处置要求：</w:t>
      </w:r>
      <w:r>
        <w:rPr>
          <w:rFonts w:hint="eastAsia"/>
          <w:color w:val="FF0000"/>
          <w:szCs w:val="21"/>
        </w:rPr>
        <w:t>股权转让成交后，由受让方承担</w:t>
      </w:r>
      <w:r>
        <w:rPr>
          <w:rFonts w:hint="eastAsia"/>
          <w:szCs w:val="21"/>
        </w:rPr>
        <w:t>。</w:t>
      </w:r>
    </w:p>
    <w:p>
      <w:pPr>
        <w:numPr>
          <w:ilvl w:val="0"/>
          <w:numId w:val="14"/>
        </w:numPr>
        <w:autoSpaceDE w:val="0"/>
        <w:autoSpaceDN w:val="0"/>
        <w:adjustRightInd w:val="0"/>
        <w:rPr>
          <w:szCs w:val="21"/>
        </w:rPr>
      </w:pPr>
      <w:r>
        <w:rPr>
          <w:rFonts w:hint="eastAsia"/>
          <w:szCs w:val="21"/>
        </w:rPr>
        <w:t>资产评估基准日到转让完成日期间的损益处理方式：由受让方享受承担。</w:t>
      </w:r>
    </w:p>
    <w:p>
      <w:pPr>
        <w:numPr>
          <w:ilvl w:val="0"/>
          <w:numId w:val="14"/>
        </w:numPr>
        <w:autoSpaceDE w:val="0"/>
        <w:autoSpaceDN w:val="0"/>
        <w:adjustRightInd w:val="0"/>
        <w:rPr>
          <w:szCs w:val="21"/>
        </w:rPr>
      </w:pPr>
      <w:r>
        <w:rPr>
          <w:rFonts w:hint="eastAsia"/>
          <w:szCs w:val="21"/>
        </w:rPr>
        <w:t>其他：股权工商变更登记的税费由出让方、受让方各自承担；转让价款付清前不予办理股权过户工</w:t>
      </w:r>
      <w:r>
        <w:rPr>
          <w:rFonts w:hint="eastAsia" w:ascii="宋体" w:hAnsi="宋体"/>
          <w:color w:val="000000"/>
        </w:rPr>
        <w:t>商变更登记手续。</w:t>
      </w:r>
    </w:p>
    <w:p>
      <w:pPr>
        <w:ind w:firstLine="420" w:firstLineChars="200"/>
        <w:rPr>
          <w:szCs w:val="21"/>
        </w:rPr>
      </w:pPr>
      <w:r>
        <w:rPr>
          <w:rFonts w:hint="eastAsia"/>
          <w:szCs w:val="21"/>
        </w:rPr>
        <w:t xml:space="preserve"> B</w:t>
      </w:r>
      <w:r>
        <w:rPr>
          <w:szCs w:val="21"/>
        </w:rPr>
        <w:t>、受让方资格条件：</w:t>
      </w:r>
    </w:p>
    <w:p>
      <w:pPr>
        <w:numPr>
          <w:ilvl w:val="0"/>
          <w:numId w:val="15"/>
        </w:numPr>
        <w:autoSpaceDE w:val="0"/>
        <w:autoSpaceDN w:val="0"/>
        <w:adjustRightInd w:val="0"/>
        <w:rPr>
          <w:szCs w:val="21"/>
        </w:rPr>
      </w:pPr>
      <w:r>
        <w:rPr>
          <w:szCs w:val="21"/>
        </w:rPr>
        <w:t>受让方应为在中华人民共和国境内合法注册的企业，受让方为自然人的，应当具备完全民事行为能力。</w:t>
      </w:r>
    </w:p>
    <w:p>
      <w:pPr>
        <w:numPr>
          <w:ilvl w:val="0"/>
          <w:numId w:val="15"/>
        </w:numPr>
        <w:autoSpaceDE w:val="0"/>
        <w:autoSpaceDN w:val="0"/>
        <w:adjustRightInd w:val="0"/>
        <w:rPr>
          <w:szCs w:val="21"/>
        </w:rPr>
      </w:pPr>
      <w:r>
        <w:rPr>
          <w:rFonts w:hint="eastAsia"/>
          <w:szCs w:val="21"/>
        </w:rPr>
        <w:t>受让方为境外投资者的，应当符合外商投资产业指导目录和负面清单管理要求，以及外商投资安全审查有关规定。</w:t>
      </w:r>
    </w:p>
    <w:p>
      <w:pPr>
        <w:numPr>
          <w:ilvl w:val="2"/>
          <w:numId w:val="16"/>
        </w:numPr>
        <w:rPr>
          <w:szCs w:val="21"/>
        </w:rPr>
      </w:pPr>
      <w:r>
        <w:rPr>
          <w:rFonts w:hint="eastAsia"/>
          <w:szCs w:val="21"/>
        </w:rPr>
        <w:t>竞买人通过</w:t>
      </w:r>
      <w:r>
        <w:rPr>
          <w:rFonts w:hint="eastAsia"/>
          <w:szCs w:val="21"/>
          <w:lang w:eastAsia="zh-CN"/>
        </w:rPr>
        <w:t>网络参与</w:t>
      </w:r>
      <w:r>
        <w:rPr>
          <w:rFonts w:hint="eastAsia"/>
          <w:szCs w:val="21"/>
        </w:rPr>
        <w:t>电子竞价系统报价时，应由竞买人本人进行</w:t>
      </w:r>
      <w:r>
        <w:rPr>
          <w:rFonts w:hint="eastAsia"/>
          <w:szCs w:val="21"/>
          <w:lang w:eastAsia="zh-CN"/>
        </w:rPr>
        <w:t>网络竞价</w:t>
      </w:r>
      <w:r>
        <w:rPr>
          <w:rFonts w:hint="eastAsia"/>
          <w:szCs w:val="21"/>
        </w:rPr>
        <w:t>操作和实施报价行为，以竞价会电子</w:t>
      </w:r>
      <w:r>
        <w:rPr>
          <w:rFonts w:hint="eastAsia"/>
          <w:szCs w:val="21"/>
          <w:lang w:eastAsia="zh-CN"/>
        </w:rPr>
        <w:t>竞价记录</w:t>
      </w:r>
      <w:r>
        <w:rPr>
          <w:rFonts w:hint="eastAsia"/>
          <w:szCs w:val="21"/>
        </w:rPr>
        <w:t>为准，无论何种原因引致他人代竞买人进行</w:t>
      </w:r>
      <w:r>
        <w:rPr>
          <w:rFonts w:hint="eastAsia"/>
          <w:szCs w:val="21"/>
          <w:lang w:eastAsia="zh-CN"/>
        </w:rPr>
        <w:t>网络竞价</w:t>
      </w:r>
      <w:r>
        <w:rPr>
          <w:rFonts w:hint="eastAsia"/>
          <w:szCs w:val="21"/>
        </w:rPr>
        <w:t>操作和实施报价行为的，均视同竞买人实施报价行为，竞买人应自行承担由此产生的一切经济责任和法律后果。</w:t>
      </w:r>
    </w:p>
    <w:p>
      <w:pPr>
        <w:numPr>
          <w:ilvl w:val="2"/>
          <w:numId w:val="16"/>
        </w:numPr>
        <w:rPr>
          <w:szCs w:val="21"/>
        </w:rPr>
      </w:pPr>
      <w:r>
        <w:rPr>
          <w:rFonts w:hint="eastAsia"/>
          <w:szCs w:val="21"/>
        </w:rPr>
        <w:t>竞买人本人不能参加电子网络竞价会，需提前办理授权委托书，委托代理人竞买，代理人必须向组织人相关工作人员出示有效的委托文件原件及本人身份证原件或其他有效身份证件，并经组织人确认同意方可</w:t>
      </w:r>
      <w:r>
        <w:rPr>
          <w:rFonts w:hint="eastAsia"/>
          <w:szCs w:val="21"/>
          <w:lang w:eastAsia="zh-CN"/>
        </w:rPr>
        <w:t>取得</w:t>
      </w:r>
      <w:r>
        <w:rPr>
          <w:rFonts w:hint="eastAsia"/>
          <w:szCs w:val="21"/>
        </w:rPr>
        <w:t>竞价会代理</w:t>
      </w:r>
      <w:r>
        <w:rPr>
          <w:rFonts w:hint="eastAsia"/>
          <w:szCs w:val="21"/>
          <w:lang w:eastAsia="zh-CN"/>
        </w:rPr>
        <w:t>资格</w:t>
      </w:r>
      <w:r>
        <w:rPr>
          <w:rFonts w:hint="eastAsia"/>
          <w:szCs w:val="21"/>
        </w:rPr>
        <w:t>参加竞价，</w:t>
      </w:r>
      <w:r>
        <w:rPr>
          <w:rFonts w:hint="eastAsia"/>
          <w:b/>
          <w:szCs w:val="21"/>
          <w:u w:val="single"/>
        </w:rPr>
        <w:t>否则视为该竞买人违反竞买约定和干扰交易秩序，应承担全部法律责任，且其所交竞买保证金由组织人直接支付给转让方所有。</w:t>
      </w:r>
    </w:p>
    <w:p>
      <w:pPr>
        <w:numPr>
          <w:ilvl w:val="2"/>
          <w:numId w:val="16"/>
        </w:numPr>
        <w:rPr>
          <w:szCs w:val="21"/>
        </w:rPr>
      </w:pPr>
      <w:r>
        <w:rPr>
          <w:rFonts w:hint="eastAsia"/>
          <w:szCs w:val="21"/>
        </w:rPr>
        <w:t>竞买人必须遵守场内公共秩序和竞价秩序，不得阻挠其他竞买人报价，不得阻碍</w:t>
      </w:r>
      <w:r>
        <w:rPr>
          <w:rFonts w:hint="eastAsia"/>
          <w:szCs w:val="21"/>
          <w:lang w:eastAsia="zh-CN"/>
        </w:rPr>
        <w:t>代理机构</w:t>
      </w:r>
      <w:r>
        <w:rPr>
          <w:rFonts w:hint="eastAsia"/>
          <w:szCs w:val="21"/>
        </w:rPr>
        <w:t>进行</w:t>
      </w:r>
      <w:r>
        <w:rPr>
          <w:rFonts w:hint="eastAsia" w:ascii="宋体" w:hAnsi="宋体"/>
          <w:szCs w:val="21"/>
        </w:rPr>
        <w:t>正常的工作，更不得有恶意操纵他人竞价等违法行为，一经发现，将取消其竞买资格，</w:t>
      </w:r>
      <w:r>
        <w:rPr>
          <w:rFonts w:hint="eastAsia"/>
          <w:b/>
          <w:szCs w:val="21"/>
          <w:u w:val="single"/>
        </w:rPr>
        <w:t>应承担全部法律责任，且其所交竞买保证金由组织人直接支付给转让方所有</w:t>
      </w:r>
      <w:r>
        <w:rPr>
          <w:rFonts w:hint="eastAsia" w:ascii="宋体" w:hAnsi="宋体"/>
          <w:b/>
          <w:szCs w:val="21"/>
          <w:u w:val="single"/>
        </w:rPr>
        <w:t>，</w:t>
      </w:r>
      <w:r>
        <w:rPr>
          <w:rFonts w:hint="eastAsia" w:ascii="宋体" w:hAnsi="宋体"/>
          <w:szCs w:val="21"/>
        </w:rPr>
        <w:t>必要时移交相关部门追究其法律责任。</w:t>
      </w:r>
    </w:p>
    <w:p>
      <w:pPr>
        <w:numPr>
          <w:ilvl w:val="2"/>
          <w:numId w:val="16"/>
        </w:numPr>
        <w:rPr>
          <w:szCs w:val="21"/>
        </w:rPr>
      </w:pPr>
      <w:r>
        <w:rPr>
          <w:rFonts w:hint="eastAsia" w:ascii="宋体" w:hAnsi="宋体"/>
          <w:szCs w:val="21"/>
        </w:rPr>
        <w:t>竞价过程中，竞买人必须认真严肃地进行竞买。竞买人应严肃、慎重的考虑，确认后报出自己所认可的报价，不得反悔，否则</w:t>
      </w:r>
      <w:r>
        <w:rPr>
          <w:rFonts w:hint="eastAsia"/>
          <w:b/>
          <w:szCs w:val="21"/>
          <w:u w:val="single"/>
        </w:rPr>
        <w:t>应承担全部法律责任，且其所交竞买保证金由组织人直接支付给转让方所有</w:t>
      </w:r>
      <w:r>
        <w:rPr>
          <w:rFonts w:hint="eastAsia" w:ascii="宋体" w:hAnsi="宋体"/>
          <w:szCs w:val="21"/>
        </w:rPr>
        <w:t>。</w:t>
      </w:r>
    </w:p>
    <w:p>
      <w:pPr>
        <w:numPr>
          <w:ilvl w:val="2"/>
          <w:numId w:val="16"/>
        </w:numPr>
        <w:rPr>
          <w:szCs w:val="21"/>
        </w:rPr>
      </w:pPr>
      <w:r>
        <w:rPr>
          <w:rFonts w:hint="eastAsia" w:ascii="宋体" w:hAnsi="宋体"/>
          <w:szCs w:val="21"/>
        </w:rPr>
        <w:t>竞价过程中，如因系统发生故障，由组织人视具体情况作出暂停或调整电子竞价时间的决定。</w:t>
      </w:r>
    </w:p>
    <w:p>
      <w:pPr>
        <w:numPr>
          <w:ilvl w:val="2"/>
          <w:numId w:val="16"/>
        </w:numPr>
        <w:rPr>
          <w:szCs w:val="21"/>
        </w:rPr>
      </w:pPr>
      <w:r>
        <w:rPr>
          <w:rFonts w:hint="eastAsia" w:ascii="宋体" w:hAnsi="宋体"/>
          <w:szCs w:val="21"/>
        </w:rPr>
        <w:t>竞买人应自行承担其参与竞价（包括但不限于完成报名手续和递交有关文件）所涉及的一切费用，不论竞价结果如何，在任何情况下组织人均无义务承担此费用。</w:t>
      </w:r>
    </w:p>
    <w:p>
      <w:pPr>
        <w:numPr>
          <w:ilvl w:val="2"/>
          <w:numId w:val="16"/>
        </w:numPr>
        <w:rPr>
          <w:szCs w:val="21"/>
        </w:rPr>
      </w:pPr>
      <w:r>
        <w:rPr>
          <w:rFonts w:hint="eastAsia" w:ascii="宋体" w:hAnsi="宋体"/>
          <w:szCs w:val="21"/>
        </w:rPr>
        <w:t>有下列情形之一的，视作竞买人违约放弃受让，</w:t>
      </w:r>
      <w:r>
        <w:rPr>
          <w:rFonts w:hint="eastAsia"/>
          <w:b/>
          <w:szCs w:val="21"/>
          <w:u w:val="single"/>
        </w:rPr>
        <w:t>应承担全部法律责任，且其所交竞买保证金由组织人直接支付给转让方所有</w:t>
      </w:r>
      <w:r>
        <w:rPr>
          <w:rFonts w:hint="eastAsia" w:ascii="宋体" w:hAnsi="宋体"/>
          <w:szCs w:val="21"/>
        </w:rPr>
        <w:t>：</w:t>
      </w:r>
    </w:p>
    <w:p>
      <w:pPr>
        <w:numPr>
          <w:ilvl w:val="0"/>
          <w:numId w:val="17"/>
        </w:numPr>
        <w:rPr>
          <w:rFonts w:ascii="宋体" w:hAnsi="宋体"/>
          <w:b/>
          <w:szCs w:val="21"/>
        </w:rPr>
      </w:pPr>
      <w:r>
        <w:rPr>
          <w:rFonts w:hint="eastAsia"/>
          <w:b/>
          <w:u w:val="single"/>
        </w:rPr>
        <w:t>竞价成交后，</w:t>
      </w:r>
      <w:r>
        <w:rPr>
          <w:rFonts w:hint="eastAsia"/>
          <w:b/>
          <w:color w:val="000000"/>
          <w:u w:val="single"/>
        </w:rPr>
        <w:t>被确定为本项目受让主体的竞买人</w:t>
      </w:r>
      <w:r>
        <w:rPr>
          <w:rFonts w:hint="eastAsia"/>
          <w:b/>
          <w:u w:val="single"/>
        </w:rPr>
        <w:t>拒绝签署竞价成交价格确认单的</w:t>
      </w:r>
      <w:r>
        <w:rPr>
          <w:rFonts w:hint="eastAsia"/>
        </w:rPr>
        <w:t>。</w:t>
      </w:r>
    </w:p>
    <w:p>
      <w:pPr>
        <w:numPr>
          <w:ilvl w:val="0"/>
          <w:numId w:val="17"/>
        </w:numPr>
        <w:rPr>
          <w:rFonts w:ascii="宋体" w:hAnsi="宋体"/>
          <w:b/>
          <w:szCs w:val="21"/>
        </w:rPr>
      </w:pPr>
      <w:r>
        <w:rPr>
          <w:rFonts w:hint="eastAsia"/>
          <w:b/>
          <w:u w:val="single"/>
        </w:rPr>
        <w:t>因竞买人原因逾期未签产权</w:t>
      </w:r>
      <w:r>
        <w:rPr>
          <w:b/>
          <w:u w:val="single"/>
        </w:rPr>
        <w:t>交易合同</w:t>
      </w:r>
      <w:r>
        <w:rPr>
          <w:rFonts w:hint="eastAsia"/>
          <w:b/>
          <w:u w:val="single"/>
        </w:rPr>
        <w:t>的。</w:t>
      </w:r>
    </w:p>
    <w:p>
      <w:pPr>
        <w:numPr>
          <w:ilvl w:val="2"/>
          <w:numId w:val="16"/>
        </w:numPr>
        <w:rPr>
          <w:rFonts w:ascii="宋体" w:hAnsi="宋体"/>
          <w:color w:val="000000"/>
          <w:szCs w:val="21"/>
        </w:rPr>
      </w:pPr>
      <w:r>
        <w:rPr>
          <w:rFonts w:hint="eastAsia" w:ascii="宋体" w:hAnsi="宋体"/>
          <w:szCs w:val="21"/>
        </w:rPr>
        <w:t>当</w:t>
      </w:r>
      <w:r>
        <w:rPr>
          <w:rFonts w:hint="eastAsia" w:ascii="宋体" w:hAnsi="宋体"/>
          <w:szCs w:val="21"/>
          <w:lang w:eastAsia="zh-CN"/>
        </w:rPr>
        <w:t>报名竞买人仅为</w:t>
      </w:r>
      <w:r>
        <w:rPr>
          <w:rFonts w:hint="eastAsia" w:ascii="宋体" w:hAnsi="宋体"/>
          <w:szCs w:val="21"/>
          <w:lang w:val="en-US" w:eastAsia="zh-CN"/>
        </w:rPr>
        <w:t>1</w:t>
      </w:r>
      <w:r>
        <w:rPr>
          <w:rFonts w:hint="eastAsia" w:ascii="宋体" w:hAnsi="宋体"/>
          <w:szCs w:val="21"/>
        </w:rPr>
        <w:t>人时，则唯一竞买人成为</w:t>
      </w:r>
      <w:r>
        <w:rPr>
          <w:rFonts w:hint="eastAsia" w:ascii="宋体" w:hAnsi="宋体"/>
          <w:color w:val="000000"/>
          <w:szCs w:val="21"/>
        </w:rPr>
        <w:t>受让方，成交价格根据竞价起始价和该竞买人报名时的报价按照孰高原则确定。</w:t>
      </w:r>
    </w:p>
    <w:p>
      <w:pPr>
        <w:numPr>
          <w:ilvl w:val="2"/>
          <w:numId w:val="16"/>
        </w:numPr>
        <w:rPr>
          <w:rFonts w:ascii="宋体" w:hAnsi="宋体"/>
          <w:color w:val="000000"/>
          <w:szCs w:val="21"/>
        </w:rPr>
      </w:pPr>
      <w:r>
        <w:rPr>
          <w:rFonts w:hint="eastAsia" w:ascii="宋体" w:hAnsi="宋体"/>
          <w:color w:val="000000"/>
          <w:szCs w:val="21"/>
        </w:rPr>
        <w:t>竞买人未在电子网络竞价会开始时间（开始时间延迟的，以延迟后的开始时间为准）前进入电子网络竞价会的，视为自动放弃受让，其已递交的竞买保证金在竞买活动结束</w:t>
      </w:r>
      <w:r>
        <w:rPr>
          <w:rFonts w:hint="eastAsia" w:ascii="宋体" w:hAnsi="宋体"/>
          <w:color w:val="FF0000"/>
          <w:szCs w:val="21"/>
        </w:rPr>
        <w:t>后5个</w:t>
      </w:r>
      <w:r>
        <w:rPr>
          <w:rFonts w:hint="eastAsia" w:ascii="宋体" w:hAnsi="宋体"/>
          <w:color w:val="000000"/>
          <w:szCs w:val="21"/>
        </w:rPr>
        <w:t>工作日内，全额无息予以退还。</w:t>
      </w:r>
    </w:p>
    <w:p>
      <w:pPr>
        <w:numPr>
          <w:ilvl w:val="2"/>
          <w:numId w:val="16"/>
        </w:numPr>
        <w:rPr>
          <w:rFonts w:ascii="宋体" w:hAnsi="宋体"/>
          <w:color w:val="000000"/>
          <w:szCs w:val="21"/>
        </w:rPr>
      </w:pPr>
      <w:r>
        <w:rPr>
          <w:rFonts w:ascii="Arial" w:hAnsi="Arial" w:cs="Arial"/>
          <w:color w:val="000000"/>
        </w:rPr>
        <w:t>竞价会正式开始后，所有竞买人在电子竞价结束前均未通过电子竞价系统对竞价起始价应价并导致项目不成交的，</w:t>
      </w:r>
      <w:r>
        <w:rPr>
          <w:rFonts w:hint="eastAsia" w:ascii="宋体" w:hAnsi="宋体"/>
          <w:color w:val="000000"/>
          <w:szCs w:val="21"/>
        </w:rPr>
        <w:t>视为全体竞买人自动放弃受让，其已递交的竞买保证金在竞买活动结束</w:t>
      </w:r>
      <w:r>
        <w:rPr>
          <w:rFonts w:hint="eastAsia" w:ascii="宋体" w:hAnsi="宋体"/>
          <w:color w:val="FF0000"/>
          <w:szCs w:val="21"/>
        </w:rPr>
        <w:t>后5个工</w:t>
      </w:r>
      <w:r>
        <w:rPr>
          <w:rFonts w:hint="eastAsia" w:ascii="宋体" w:hAnsi="宋体"/>
          <w:color w:val="000000"/>
          <w:szCs w:val="21"/>
        </w:rPr>
        <w:t>作日内，全额无息予以退还。</w:t>
      </w:r>
    </w:p>
    <w:p>
      <w:pPr>
        <w:numPr>
          <w:ilvl w:val="2"/>
          <w:numId w:val="16"/>
        </w:numPr>
        <w:rPr>
          <w:rFonts w:ascii="宋体" w:hAnsi="宋体"/>
          <w:szCs w:val="21"/>
          <w:u w:val="single"/>
        </w:rPr>
      </w:pPr>
      <w:r>
        <w:rPr>
          <w:rFonts w:hint="eastAsia" w:ascii="宋体" w:hAnsi="宋体"/>
          <w:szCs w:val="21"/>
        </w:rPr>
        <w:t>竞价成交后，转让方应按产权交易合同规定时间提交标的企业工商变更、办证及过户所需相关资料，标的企业所涉及的工商变更、办证及过户等相关事宜过程中所产生的税、费等均由转、受让双方按国家规定各自承担并自行办理有关事项。标的所有权自完成工商变更过户后由转让方转移至受让方。</w:t>
      </w:r>
    </w:p>
    <w:p>
      <w:pPr>
        <w:numPr>
          <w:ilvl w:val="2"/>
          <w:numId w:val="16"/>
        </w:numPr>
        <w:rPr>
          <w:rFonts w:ascii="宋体" w:hAnsi="宋体"/>
          <w:szCs w:val="21"/>
          <w:u w:val="single"/>
        </w:rPr>
      </w:pPr>
      <w:r>
        <w:rPr>
          <w:rFonts w:hint="eastAsia" w:ascii="宋体" w:hAnsi="宋体" w:cs="宋体"/>
          <w:b/>
          <w:kern w:val="0"/>
          <w:szCs w:val="21"/>
          <w:u w:val="single"/>
        </w:rPr>
        <w:t>受让方应确保自身主体资格能符合审批机关、工商管理等部门对受让方主体资格的要求，否则受让方</w:t>
      </w:r>
      <w:r>
        <w:rPr>
          <w:rFonts w:hint="eastAsia"/>
          <w:b/>
          <w:szCs w:val="21"/>
          <w:u w:val="single"/>
        </w:rPr>
        <w:t>应承担全部法律责任，且其所交竞买保证金由组织人直接支付给转让方所有</w:t>
      </w:r>
      <w:r>
        <w:rPr>
          <w:rFonts w:hint="eastAsia" w:ascii="宋体" w:hAnsi="宋体" w:cs="宋体"/>
          <w:b/>
          <w:kern w:val="0"/>
          <w:szCs w:val="21"/>
        </w:rPr>
        <w:t>。</w:t>
      </w:r>
    </w:p>
    <w:p>
      <w:pPr>
        <w:numPr>
          <w:ilvl w:val="2"/>
          <w:numId w:val="16"/>
        </w:numPr>
        <w:rPr>
          <w:rFonts w:ascii="宋体" w:hAnsi="宋体"/>
          <w:szCs w:val="21"/>
        </w:rPr>
      </w:pPr>
      <w:r>
        <w:rPr>
          <w:rFonts w:hint="eastAsia" w:ascii="宋体" w:hAnsi="宋体"/>
          <w:szCs w:val="21"/>
        </w:rPr>
        <w:t>转让方有权在竞价开始前撤回标的。若因转让方撤回标的或不可抗力或客观必要的原因，组织人有权取消或推迟本次竞价会，由此对竞买人造成的损失由竞买人自负，竞买人不得向转让方、组织人追索竞买保证金利息及其他任何费用与责任。</w:t>
      </w:r>
    </w:p>
    <w:p>
      <w:pPr>
        <w:numPr>
          <w:ilvl w:val="2"/>
          <w:numId w:val="16"/>
        </w:numPr>
        <w:rPr>
          <w:rFonts w:ascii="宋体" w:hAnsi="宋体"/>
          <w:szCs w:val="21"/>
        </w:rPr>
      </w:pPr>
      <w:r>
        <w:rPr>
          <w:rFonts w:hint="eastAsia" w:ascii="宋体" w:hAnsi="宋体"/>
          <w:szCs w:val="21"/>
        </w:rPr>
        <w:t>组织人在本竞价会资料中或其他材料中所作出的关于标的的说明仅作为一般性介绍供竞买人参考，不表明组织人作出担保，本次竞价会所提供的文件资料若因印刷、拷贝或摄影造成资料与实物或标的实际情况有误差的，以实物或标的情况现状及有效证件为准。如遇特殊情况，组织人有权对本竞价会资料进行修正，如有修正，将在竞价会开始前以书面形式或在电子网络竞价会上口头公开告知全体参会竞买人。</w:t>
      </w:r>
    </w:p>
    <w:p>
      <w:pPr>
        <w:numPr>
          <w:ilvl w:val="2"/>
          <w:numId w:val="16"/>
        </w:numPr>
        <w:rPr>
          <w:rFonts w:ascii="宋体" w:hAnsi="宋体"/>
          <w:szCs w:val="21"/>
        </w:rPr>
      </w:pPr>
      <w:r>
        <w:rPr>
          <w:rFonts w:hint="eastAsia" w:ascii="宋体" w:hAnsi="宋体"/>
          <w:szCs w:val="21"/>
        </w:rPr>
        <w:t>本竞价会资料的解释权归转让方和组织人，并以组织人的解释为终局意见。</w:t>
      </w:r>
    </w:p>
    <w:p>
      <w:pPr>
        <w:ind w:firstLine="5460" w:firstLineChars="2600"/>
        <w:rPr>
          <w:rFonts w:hint="eastAsia" w:ascii="宋体" w:hAnsi="宋体"/>
          <w:szCs w:val="21"/>
        </w:rPr>
      </w:pPr>
    </w:p>
    <w:p>
      <w:pPr>
        <w:ind w:firstLine="5460" w:firstLineChars="2600"/>
        <w:rPr>
          <w:rFonts w:hint="eastAsia" w:ascii="宋体" w:hAnsi="宋体"/>
          <w:szCs w:val="21"/>
        </w:rPr>
      </w:pPr>
    </w:p>
    <w:p>
      <w:pPr>
        <w:ind w:firstLine="5460" w:firstLineChars="2600"/>
        <w:rPr>
          <w:rFonts w:hint="eastAsia" w:ascii="宋体" w:hAnsi="宋体"/>
          <w:szCs w:val="21"/>
        </w:rPr>
      </w:pPr>
    </w:p>
    <w:p>
      <w:pPr>
        <w:ind w:firstLine="5460" w:firstLineChars="2600"/>
        <w:rPr>
          <w:rFonts w:ascii="宋体" w:hAnsi="宋体"/>
          <w:szCs w:val="21"/>
        </w:rPr>
      </w:pPr>
      <w:r>
        <w:rPr>
          <w:rFonts w:hint="eastAsia" w:ascii="宋体" w:hAnsi="宋体"/>
          <w:szCs w:val="21"/>
        </w:rPr>
        <w:t xml:space="preserve">衢州市产权交易中心有限公司 </w:t>
      </w:r>
    </w:p>
    <w:p>
      <w:pPr>
        <w:ind w:firstLine="6195" w:firstLineChars="2950"/>
        <w:rPr>
          <w:rFonts w:ascii="宋体" w:hAnsi="宋体"/>
          <w:szCs w:val="21"/>
        </w:rPr>
      </w:pPr>
      <w:r>
        <w:rPr>
          <w:rFonts w:hint="eastAsia" w:ascii="宋体" w:hAnsi="宋体"/>
          <w:szCs w:val="21"/>
        </w:rPr>
        <w:t>2019年</w:t>
      </w:r>
      <w:r>
        <w:rPr>
          <w:rFonts w:hint="eastAsia" w:ascii="宋体" w:hAnsi="宋体"/>
          <w:szCs w:val="21"/>
          <w:lang w:val="en-US" w:eastAsia="zh-CN"/>
        </w:rPr>
        <w:t>4</w:t>
      </w:r>
      <w:r>
        <w:rPr>
          <w:rFonts w:hint="eastAsia" w:ascii="宋体" w:hAnsi="宋体"/>
          <w:szCs w:val="21"/>
        </w:rPr>
        <w:t>月1</w:t>
      </w:r>
      <w:r>
        <w:rPr>
          <w:rFonts w:hint="eastAsia" w:ascii="宋体" w:hAnsi="宋体"/>
          <w:szCs w:val="21"/>
          <w:lang w:val="en-US" w:eastAsia="zh-CN"/>
        </w:rPr>
        <w:t>5</w:t>
      </w:r>
      <w:r>
        <w:rPr>
          <w:rFonts w:hint="eastAsia" w:ascii="宋体" w:hAnsi="宋体"/>
          <w:szCs w:val="21"/>
        </w:rPr>
        <w:t>日</w:t>
      </w:r>
    </w:p>
    <w:p>
      <w:pPr>
        <w:spacing w:line="360" w:lineRule="auto"/>
        <w:rPr>
          <w:rFonts w:ascii="宋体" w:hAnsi="宋体"/>
          <w:szCs w:val="21"/>
          <w:u w:val="single"/>
        </w:rPr>
      </w:pPr>
    </w:p>
    <w:p>
      <w:pPr>
        <w:spacing w:line="360" w:lineRule="auto"/>
        <w:rPr>
          <w:rFonts w:ascii="宋体" w:hAnsi="宋体"/>
          <w:szCs w:val="21"/>
          <w:u w:val="single"/>
        </w:rPr>
      </w:pPr>
    </w:p>
    <w:p>
      <w:pPr>
        <w:spacing w:line="360" w:lineRule="auto"/>
        <w:rPr>
          <w:rFonts w:ascii="宋体" w:hAnsi="宋体"/>
          <w:szCs w:val="21"/>
          <w:u w:val="single"/>
        </w:rPr>
      </w:pPr>
    </w:p>
    <w:p>
      <w:pPr>
        <w:spacing w:line="360" w:lineRule="auto"/>
        <w:rPr>
          <w:rFonts w:ascii="黑体" w:hAnsi="宋体" w:eastAsia="黑体"/>
          <w:szCs w:val="21"/>
          <w:u w:val="single"/>
        </w:rPr>
      </w:pPr>
      <w:r>
        <w:rPr>
          <w:rFonts w:hint="eastAsia" w:ascii="黑体" w:hAnsi="宋体" w:eastAsia="黑体"/>
          <w:szCs w:val="21"/>
          <w:u w:val="single"/>
        </w:rPr>
        <w:t>上述竞价须知及特别约定本竞买人已阅读，并同意遵照执行。</w:t>
      </w:r>
    </w:p>
    <w:p>
      <w:pPr>
        <w:spacing w:line="360" w:lineRule="auto"/>
        <w:ind w:firstLine="2310" w:firstLineChars="1100"/>
        <w:jc w:val="center"/>
        <w:rPr>
          <w:rFonts w:ascii="宋体" w:hAnsi="宋体"/>
          <w:szCs w:val="21"/>
        </w:rPr>
      </w:pPr>
      <w:r>
        <w:rPr>
          <w:rFonts w:hint="eastAsia" w:ascii="宋体" w:hAnsi="宋体"/>
          <w:szCs w:val="21"/>
        </w:rPr>
        <w:t>竞买人（签字盖章）：</w:t>
      </w:r>
      <w:r>
        <w:rPr>
          <w:rFonts w:hint="eastAsia" w:ascii="宋体" w:hAnsi="宋体"/>
          <w:szCs w:val="21"/>
          <w:u w:val="single"/>
        </w:rPr>
        <w:t xml:space="preserve">             </w:t>
      </w:r>
      <w:r>
        <w:rPr>
          <w:rFonts w:hint="eastAsia" w:ascii="宋体" w:hAnsi="宋体"/>
          <w:szCs w:val="21"/>
        </w:rPr>
        <w:t xml:space="preserve">  年  月  日</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jc w:val="center"/>
      </w:pPr>
      <w:r>
        <w:rPr>
          <w:rFonts w:hint="eastAsia"/>
        </w:rPr>
        <w:t xml:space="preserve">                                                </w:t>
      </w:r>
    </w:p>
    <w:p/>
    <w:p/>
    <w:p/>
    <w:p/>
    <w:p/>
    <w:p/>
    <w:p/>
    <w:p/>
    <w:p/>
    <w:p>
      <w:pPr>
        <w:rPr>
          <w:color w:val="000000"/>
        </w:rPr>
      </w:pPr>
    </w:p>
    <w:p>
      <w:pPr>
        <w:jc w:val="center"/>
        <w:rPr>
          <w:color w:val="000000"/>
        </w:rPr>
      </w:pPr>
    </w:p>
    <w:tbl>
      <w:tblPr>
        <w:tblStyle w:val="22"/>
        <w:tblW w:w="2340" w:type="dxa"/>
        <w:tblInd w:w="65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2340" w:type="dxa"/>
          </w:tcPr>
          <w:p>
            <w:pPr>
              <w:rPr>
                <w:b/>
                <w:color w:val="000000"/>
              </w:rPr>
            </w:pPr>
            <w:r>
              <w:rPr>
                <w:rFonts w:hint="eastAsia"/>
                <w:b/>
                <w:bCs/>
                <w:color w:val="000000"/>
                <w:sz w:val="24"/>
              </w:rPr>
              <w:t>合同编号:</w:t>
            </w:r>
          </w:p>
        </w:tc>
      </w:tr>
    </w:tbl>
    <w:p>
      <w:pPr>
        <w:rPr>
          <w:color w:val="000000"/>
        </w:rPr>
      </w:pPr>
      <w:r>
        <w:rPr>
          <w:rFonts w:hint="eastAsia"/>
          <w:color w:val="000000"/>
        </w:rPr>
        <w:t xml:space="preserve">                                                     </w:t>
      </w:r>
      <w:r>
        <w:rPr>
          <w:rFonts w:hint="eastAsia"/>
          <w:b/>
          <w:bCs/>
          <w:color w:val="000000"/>
          <w:sz w:val="24"/>
        </w:rPr>
        <w:t xml:space="preserve"> </w:t>
      </w:r>
    </w:p>
    <w:p>
      <w:pPr>
        <w:rPr>
          <w:color w:val="000000"/>
        </w:rPr>
      </w:pPr>
    </w:p>
    <w:p>
      <w:pPr>
        <w:rPr>
          <w:color w:val="000000"/>
        </w:rPr>
      </w:pPr>
    </w:p>
    <w:p>
      <w:pPr>
        <w:jc w:val="center"/>
        <w:rPr>
          <w:rFonts w:ascii="宋体" w:hAnsi="宋体"/>
          <w:b/>
          <w:bCs/>
          <w:color w:val="000000"/>
          <w:spacing w:val="60"/>
          <w:sz w:val="44"/>
          <w:szCs w:val="44"/>
        </w:rPr>
      </w:pPr>
      <w:r>
        <w:rPr>
          <w:rFonts w:hint="eastAsia" w:ascii="宋体" w:hAnsi="宋体"/>
          <w:b/>
          <w:bCs/>
          <w:color w:val="000000"/>
          <w:spacing w:val="60"/>
          <w:sz w:val="44"/>
          <w:szCs w:val="44"/>
        </w:rPr>
        <w:t>国有产权交易合同</w:t>
      </w:r>
    </w:p>
    <w:p>
      <w:pPr>
        <w:jc w:val="center"/>
        <w:rPr>
          <w:rFonts w:ascii="宋体" w:hAnsi="宋体"/>
          <w:b/>
          <w:bCs/>
          <w:color w:val="000000"/>
          <w:spacing w:val="60"/>
          <w:sz w:val="30"/>
          <w:szCs w:val="30"/>
        </w:rPr>
      </w:pPr>
      <w:r>
        <w:rPr>
          <w:rFonts w:hint="eastAsia" w:ascii="宋体" w:hAnsi="宋体"/>
          <w:b/>
          <w:bCs/>
          <w:color w:val="000000"/>
          <w:spacing w:val="60"/>
          <w:sz w:val="30"/>
          <w:szCs w:val="30"/>
        </w:rPr>
        <w:t>（参考文本）</w:t>
      </w:r>
    </w:p>
    <w:p>
      <w:pPr>
        <w:rPr>
          <w:color w:val="000000"/>
        </w:rPr>
      </w:pPr>
    </w:p>
    <w:p>
      <w:pPr>
        <w:rPr>
          <w:color w:val="000000"/>
        </w:rPr>
      </w:pPr>
    </w:p>
    <w:p>
      <w:pPr>
        <w:rPr>
          <w:color w:val="000000"/>
        </w:rPr>
      </w:pPr>
    </w:p>
    <w:p>
      <w:pPr>
        <w:rPr>
          <w:color w:val="000000"/>
        </w:rPr>
      </w:pPr>
    </w:p>
    <w:p>
      <w:pPr>
        <w:jc w:val="center"/>
        <w:rPr>
          <w:color w:val="000000"/>
        </w:rPr>
      </w:pPr>
    </w:p>
    <w:p>
      <w:pPr>
        <w:jc w:val="center"/>
        <w:rPr>
          <w:color w:val="000000"/>
        </w:rPr>
      </w:pPr>
    </w:p>
    <w:p>
      <w:pPr>
        <w:ind w:firstLine="1808" w:firstLineChars="646"/>
        <w:rPr>
          <w:rFonts w:ascii="宋体" w:hAnsi="宋体"/>
          <w:b/>
          <w:color w:val="000000"/>
          <w:sz w:val="30"/>
          <w:szCs w:val="30"/>
          <w:u w:val="single"/>
        </w:rPr>
      </w:pPr>
      <w:r>
        <w:rPr>
          <w:rFonts w:hint="eastAsia" w:ascii="宋体" w:hAnsi="宋体"/>
          <w:b/>
          <w:color w:val="000000"/>
          <w:sz w:val="28"/>
        </w:rPr>
        <w:t>转让方：</w:t>
      </w:r>
      <w:r>
        <w:rPr>
          <w:rFonts w:hint="eastAsia" w:ascii="宋体" w:hAnsi="宋体"/>
          <w:b/>
          <w:color w:val="000000"/>
          <w:sz w:val="28"/>
          <w:u w:val="single"/>
        </w:rPr>
        <w:t xml:space="preserve"> </w:t>
      </w:r>
      <w:r>
        <w:rPr>
          <w:rFonts w:hint="eastAsia" w:ascii="宋体" w:hAnsi="宋体"/>
          <w:b/>
          <w:color w:val="000000"/>
          <w:sz w:val="28"/>
          <w:szCs w:val="28"/>
          <w:u w:val="single"/>
        </w:rPr>
        <w:t>衢州</w:t>
      </w:r>
      <w:r>
        <w:rPr>
          <w:rFonts w:hint="eastAsia" w:ascii="宋体" w:hAnsi="宋体"/>
          <w:b/>
          <w:color w:val="000000"/>
          <w:sz w:val="28"/>
          <w:szCs w:val="28"/>
          <w:u w:val="single"/>
          <w:lang w:eastAsia="zh-CN"/>
        </w:rPr>
        <w:t>市金融控股集团有限</w:t>
      </w:r>
      <w:r>
        <w:rPr>
          <w:rFonts w:hint="eastAsia" w:ascii="宋体" w:hAnsi="宋体"/>
          <w:b/>
          <w:color w:val="000000"/>
          <w:sz w:val="28"/>
          <w:szCs w:val="28"/>
          <w:u w:val="single"/>
        </w:rPr>
        <w:t>公司</w:t>
      </w:r>
      <w:r>
        <w:rPr>
          <w:rFonts w:hint="eastAsia" w:ascii="宋体" w:hAnsi="宋体"/>
          <w:b/>
          <w:color w:val="000000"/>
          <w:sz w:val="36"/>
          <w:szCs w:val="36"/>
          <w:u w:val="single"/>
        </w:rPr>
        <w:t xml:space="preserve">    </w:t>
      </w:r>
      <w:r>
        <w:rPr>
          <w:rFonts w:hint="eastAsia" w:ascii="宋体" w:hAnsi="宋体"/>
          <w:b/>
          <w:color w:val="000000"/>
          <w:sz w:val="32"/>
          <w:szCs w:val="32"/>
          <w:u w:val="single"/>
        </w:rPr>
        <w:t xml:space="preserve">   </w:t>
      </w:r>
      <w:r>
        <w:rPr>
          <w:rFonts w:hint="eastAsia" w:ascii="宋体" w:hAnsi="宋体"/>
          <w:b/>
          <w:color w:val="000000"/>
          <w:sz w:val="28"/>
          <w:u w:val="single"/>
        </w:rPr>
        <w:t xml:space="preserve">     </w:t>
      </w:r>
    </w:p>
    <w:p>
      <w:pPr>
        <w:ind w:firstLine="840" w:firstLineChars="300"/>
        <w:rPr>
          <w:rFonts w:ascii="宋体" w:hAnsi="宋体"/>
          <w:b/>
          <w:color w:val="000000"/>
          <w:sz w:val="28"/>
          <w:u w:val="single"/>
        </w:rPr>
      </w:pPr>
    </w:p>
    <w:p>
      <w:pPr>
        <w:ind w:firstLine="840" w:firstLineChars="300"/>
        <w:rPr>
          <w:rFonts w:ascii="宋体" w:hAnsi="宋体"/>
          <w:b/>
          <w:color w:val="000000"/>
          <w:sz w:val="28"/>
        </w:rPr>
      </w:pPr>
    </w:p>
    <w:p>
      <w:pPr>
        <w:ind w:firstLine="1808" w:firstLineChars="646"/>
        <w:rPr>
          <w:rFonts w:ascii="黑体" w:eastAsia="黑体"/>
          <w:b/>
          <w:color w:val="000000"/>
          <w:sz w:val="30"/>
          <w:szCs w:val="30"/>
          <w:u w:val="single"/>
        </w:rPr>
      </w:pPr>
      <w:r>
        <w:rPr>
          <w:rFonts w:hint="eastAsia" w:ascii="宋体" w:hAnsi="宋体"/>
          <w:b/>
          <w:color w:val="000000"/>
          <w:sz w:val="28"/>
        </w:rPr>
        <w:t>受让方：</w:t>
      </w:r>
      <w:r>
        <w:rPr>
          <w:rFonts w:hint="eastAsia" w:ascii="黑体" w:eastAsia="黑体"/>
          <w:b/>
          <w:color w:val="000000"/>
          <w:sz w:val="30"/>
          <w:szCs w:val="30"/>
          <w:u w:val="single"/>
        </w:rPr>
        <w:t xml:space="preserve">    </w:t>
      </w:r>
      <w:r>
        <w:rPr>
          <w:rFonts w:hint="eastAsia" w:ascii="仿宋_GB2312" w:eastAsia="仿宋_GB2312"/>
          <w:b/>
          <w:color w:val="000000"/>
          <w:sz w:val="36"/>
          <w:szCs w:val="36"/>
          <w:u w:val="single"/>
        </w:rPr>
        <w:t xml:space="preserve">          </w:t>
      </w:r>
      <w:r>
        <w:rPr>
          <w:rFonts w:hint="eastAsia" w:ascii="黑体" w:eastAsia="黑体"/>
          <w:b/>
          <w:color w:val="000000"/>
          <w:sz w:val="36"/>
          <w:szCs w:val="36"/>
          <w:u w:val="single"/>
        </w:rPr>
        <w:t xml:space="preserve"> </w:t>
      </w:r>
      <w:r>
        <w:rPr>
          <w:rFonts w:hint="eastAsia" w:ascii="黑体" w:eastAsia="黑体"/>
          <w:b/>
          <w:color w:val="000000"/>
          <w:sz w:val="30"/>
          <w:szCs w:val="30"/>
          <w:u w:val="single"/>
        </w:rPr>
        <w:t xml:space="preserve">       </w:t>
      </w:r>
    </w:p>
    <w:p>
      <w:pPr>
        <w:rPr>
          <w:rFonts w:ascii="黑体" w:eastAsia="黑体"/>
          <w:b/>
          <w:color w:val="000000"/>
          <w:sz w:val="30"/>
          <w:szCs w:val="30"/>
          <w:u w:val="single"/>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ind w:firstLine="2240" w:firstLineChars="800"/>
        <w:rPr>
          <w:rFonts w:ascii="宋体" w:hAnsi="宋体"/>
          <w:b/>
          <w:bCs/>
          <w:color w:val="000000"/>
          <w:sz w:val="28"/>
        </w:rPr>
      </w:pPr>
      <w:r>
        <w:rPr>
          <w:rFonts w:hint="eastAsia" w:ascii="宋体" w:hAnsi="宋体"/>
          <w:b/>
          <w:bCs/>
          <w:color w:val="000000"/>
          <w:sz w:val="28"/>
        </w:rPr>
        <w:t>衢州市产权交易中心有限公司制</w:t>
      </w:r>
    </w:p>
    <w:p>
      <w:pPr>
        <w:jc w:val="center"/>
        <w:rPr>
          <w:rFonts w:ascii="宋体" w:hAnsi="宋体"/>
          <w:b/>
          <w:bCs/>
          <w:color w:val="000000"/>
          <w:sz w:val="32"/>
        </w:rPr>
      </w:pPr>
      <w:r>
        <w:rPr>
          <w:rFonts w:hint="eastAsia" w:ascii="宋体" w:hAnsi="宋体"/>
          <w:b/>
          <w:bCs/>
          <w:color w:val="000000"/>
          <w:sz w:val="28"/>
        </w:rPr>
        <w:t>2019年</w:t>
      </w:r>
      <w:r>
        <w:rPr>
          <w:rFonts w:hint="eastAsia" w:ascii="宋体" w:hAnsi="宋体"/>
          <w:b/>
          <w:bCs/>
          <w:color w:val="000000"/>
          <w:sz w:val="28"/>
          <w:lang w:val="en-US" w:eastAsia="zh-CN"/>
        </w:rPr>
        <w:t>4</w:t>
      </w:r>
      <w:r>
        <w:rPr>
          <w:rFonts w:hint="eastAsia" w:ascii="宋体" w:hAnsi="宋体"/>
          <w:b/>
          <w:bCs/>
          <w:color w:val="000000"/>
          <w:sz w:val="28"/>
        </w:rPr>
        <w:t>月1</w:t>
      </w:r>
      <w:r>
        <w:rPr>
          <w:rFonts w:hint="eastAsia" w:ascii="宋体" w:hAnsi="宋体"/>
          <w:b/>
          <w:bCs/>
          <w:color w:val="000000"/>
          <w:sz w:val="28"/>
          <w:lang w:val="en-US" w:eastAsia="zh-CN"/>
        </w:rPr>
        <w:t>5</w:t>
      </w:r>
      <w:r>
        <w:rPr>
          <w:rFonts w:hint="eastAsia" w:ascii="宋体" w:hAnsi="宋体"/>
          <w:b/>
          <w:bCs/>
          <w:color w:val="000000"/>
          <w:sz w:val="28"/>
        </w:rPr>
        <w:t>日</w:t>
      </w:r>
      <w:r>
        <w:rPr>
          <w:rFonts w:eastAsia="方正姚体"/>
          <w:b/>
          <w:bCs/>
          <w:color w:val="000000"/>
          <w:sz w:val="32"/>
        </w:rPr>
        <w:br w:type="page"/>
      </w:r>
      <w:r>
        <w:rPr>
          <w:rFonts w:hint="eastAsia" w:ascii="宋体" w:hAnsi="宋体"/>
          <w:b/>
          <w:bCs/>
          <w:color w:val="000000"/>
          <w:sz w:val="32"/>
        </w:rPr>
        <w:t>合同使用须知</w:t>
      </w:r>
    </w:p>
    <w:p>
      <w:pPr>
        <w:jc w:val="center"/>
        <w:rPr>
          <w:rFonts w:ascii="宋体" w:hAnsi="宋体"/>
          <w:color w:val="000000"/>
        </w:rPr>
      </w:pPr>
    </w:p>
    <w:p>
      <w:pPr>
        <w:numPr>
          <w:ilvl w:val="0"/>
          <w:numId w:val="18"/>
        </w:numPr>
        <w:spacing w:line="336" w:lineRule="auto"/>
        <w:rPr>
          <w:color w:val="000000"/>
        </w:rPr>
      </w:pPr>
      <w:r>
        <w:rPr>
          <w:rFonts w:hint="eastAsia"/>
          <w:color w:val="000000"/>
        </w:rPr>
        <w:t>本合同文本是根据《中华人民共和国合同法》、《企业国有资产交易监督管理办法》和《企业国有产权交易操作规则》制定的示范文本。合同条款均为示范性条款，仅供产权交易各方当事人选择采用。当事人可按照实际情况在本合同文本基础上修改、调整或补充。</w:t>
      </w:r>
    </w:p>
    <w:p>
      <w:pPr>
        <w:numPr>
          <w:ilvl w:val="0"/>
          <w:numId w:val="18"/>
        </w:numPr>
        <w:spacing w:line="336" w:lineRule="auto"/>
        <w:rPr>
          <w:color w:val="000000"/>
        </w:rPr>
      </w:pPr>
      <w:r>
        <w:rPr>
          <w:rFonts w:hint="eastAsia"/>
          <w:color w:val="000000"/>
        </w:rPr>
        <w:t>为更好地维护合同各方当事人的权益，签订时应当慎重，力求具体、严密。对于不涉及本合同条款所述情形的事项，可用“本合同不适用此条款”表示，或直接删除有关条款。</w:t>
      </w:r>
    </w:p>
    <w:p>
      <w:pPr>
        <w:numPr>
          <w:ilvl w:val="0"/>
          <w:numId w:val="18"/>
        </w:numPr>
        <w:spacing w:line="336" w:lineRule="auto"/>
        <w:rPr>
          <w:color w:val="000000"/>
        </w:rPr>
      </w:pPr>
      <w:r>
        <w:rPr>
          <w:rFonts w:hint="eastAsia"/>
          <w:color w:val="000000"/>
        </w:rPr>
        <w:t xml:space="preserve">转让方：能够依法出让产权的法人或者其他组织。  </w:t>
      </w:r>
    </w:p>
    <w:p>
      <w:pPr>
        <w:numPr>
          <w:ilvl w:val="0"/>
          <w:numId w:val="18"/>
        </w:numPr>
        <w:spacing w:line="336" w:lineRule="auto"/>
        <w:rPr>
          <w:color w:val="000000"/>
        </w:rPr>
      </w:pPr>
      <w:r>
        <w:rPr>
          <w:rFonts w:hint="eastAsia"/>
          <w:color w:val="000000"/>
        </w:rPr>
        <w:t>受让方：指有权以有偿方式受让产权的法人、自然人或者其他组织。如涉及的是自然人，请在当事人概况中填写姓名及身份证号码。</w:t>
      </w:r>
    </w:p>
    <w:p>
      <w:pPr>
        <w:numPr>
          <w:ilvl w:val="0"/>
          <w:numId w:val="18"/>
        </w:numPr>
        <w:spacing w:line="336" w:lineRule="auto"/>
        <w:rPr>
          <w:color w:val="000000"/>
        </w:rPr>
      </w:pPr>
      <w:r>
        <w:rPr>
          <w:rFonts w:hint="eastAsia"/>
          <w:color w:val="000000"/>
        </w:rPr>
        <w:t>转让标的：本合同所称产权交易指资产所有权及/或股权的有偿转让行为，其转让标的包括非公司制企业的全部或者部分投资权益，有限责任公司、非上市股份有限公司、股份合作制企业的全部或部分股权。</w:t>
      </w:r>
    </w:p>
    <w:p>
      <w:pPr>
        <w:numPr>
          <w:ilvl w:val="0"/>
          <w:numId w:val="18"/>
        </w:numPr>
        <w:spacing w:line="336" w:lineRule="auto"/>
        <w:rPr>
          <w:color w:val="000000"/>
        </w:rPr>
      </w:pPr>
      <w:r>
        <w:rPr>
          <w:rFonts w:hint="eastAsia"/>
          <w:color w:val="000000"/>
        </w:rPr>
        <w:t>标的企业：是指转让方因其出资所享有的产权或股权依存的载体，即转让方自行或与他人合资设立的非公司制企业、有限责任公司、非上市股份公司、股份合作制企业等。</w:t>
      </w:r>
    </w:p>
    <w:p>
      <w:pPr>
        <w:numPr>
          <w:ilvl w:val="0"/>
          <w:numId w:val="18"/>
        </w:numPr>
        <w:spacing w:line="336" w:lineRule="auto"/>
        <w:rPr>
          <w:color w:val="000000"/>
        </w:rPr>
      </w:pPr>
      <w:r>
        <w:rPr>
          <w:rFonts w:hint="eastAsia"/>
          <w:b/>
          <w:color w:val="000000"/>
        </w:rPr>
        <w:t>衢州市产权交易中心有限公司郑重声明</w:t>
      </w:r>
      <w:r>
        <w:rPr>
          <w:rFonts w:hint="eastAsia"/>
          <w:color w:val="000000"/>
        </w:rPr>
        <w:t>：本合同参考文本仅供在本交易中心进行产权交易的双方当事人根据其实际情况选择使用。本交易中心不因制作并提供本合同参考文本而承担任何法律责任，包括但不限于保证本合同参考文本条款内容完备、保证交易双方签约目的的真实、保证交易双方的签约主体资格适格、保证交易双方为签订本合同而做出的声明及承诺以及提供的文件资料真实准确等一切责任。</w:t>
      </w:r>
    </w:p>
    <w:p>
      <w:pPr>
        <w:spacing w:line="360" w:lineRule="auto"/>
        <w:jc w:val="center"/>
        <w:rPr>
          <w:rFonts w:ascii="黑体" w:hAnsi="黑体" w:eastAsia="黑体"/>
          <w:b/>
          <w:bCs/>
          <w:color w:val="000000"/>
          <w:sz w:val="32"/>
        </w:rPr>
      </w:pPr>
      <w:r>
        <w:rPr>
          <w:rFonts w:eastAsia="方正姚体"/>
          <w:b/>
          <w:bCs/>
          <w:color w:val="000000"/>
          <w:sz w:val="32"/>
        </w:rPr>
        <w:br w:type="page"/>
      </w:r>
      <w:r>
        <w:rPr>
          <w:rFonts w:hint="eastAsia" w:ascii="黑体" w:hAnsi="黑体" w:eastAsia="黑体"/>
          <w:b/>
          <w:bCs/>
          <w:color w:val="000000"/>
          <w:sz w:val="32"/>
        </w:rPr>
        <w:t>本合同当事人</w:t>
      </w:r>
    </w:p>
    <w:p>
      <w:pPr>
        <w:snapToGrid w:val="0"/>
        <w:spacing w:line="360" w:lineRule="auto"/>
        <w:rPr>
          <w:rFonts w:eastAsia="方正姚体"/>
          <w:bCs/>
          <w:color w:val="000000"/>
          <w:sz w:val="32"/>
        </w:rPr>
      </w:pPr>
    </w:p>
    <w:p>
      <w:pPr>
        <w:snapToGrid w:val="0"/>
        <w:spacing w:line="360" w:lineRule="auto"/>
        <w:jc w:val="center"/>
        <w:rPr>
          <w:rFonts w:eastAsia="方正姚体"/>
          <w:b/>
          <w:bCs/>
          <w:color w:val="000000"/>
          <w:sz w:val="32"/>
        </w:rPr>
      </w:pPr>
    </w:p>
    <w:p>
      <w:pPr>
        <w:snapToGrid w:val="0"/>
        <w:spacing w:line="360" w:lineRule="auto"/>
        <w:rPr>
          <w:b/>
          <w:color w:val="000000"/>
          <w:sz w:val="24"/>
        </w:rPr>
      </w:pPr>
      <w:r>
        <w:rPr>
          <w:rFonts w:hint="eastAsia"/>
          <w:color w:val="000000"/>
        </w:rPr>
        <w:t>转让方（以下简称甲方）：衢州市</w:t>
      </w:r>
      <w:r>
        <w:rPr>
          <w:rFonts w:hint="eastAsia"/>
          <w:color w:val="000000"/>
          <w:lang w:eastAsia="zh-CN"/>
        </w:rPr>
        <w:t>金融控股集团有限</w:t>
      </w:r>
      <w:r>
        <w:rPr>
          <w:rFonts w:hint="eastAsia"/>
          <w:color w:val="000000"/>
        </w:rPr>
        <w:t>公司</w:t>
      </w:r>
    </w:p>
    <w:p>
      <w:pPr>
        <w:snapToGrid w:val="0"/>
        <w:spacing w:line="360" w:lineRule="auto"/>
        <w:rPr>
          <w:color w:val="000000"/>
        </w:rPr>
      </w:pPr>
      <w:r>
        <w:rPr>
          <w:rFonts w:hint="eastAsia"/>
          <w:color w:val="000000"/>
        </w:rPr>
        <w:t>注册地址/住所：衢州市柯城区</w:t>
      </w:r>
      <w:r>
        <w:rPr>
          <w:rFonts w:hint="eastAsia"/>
          <w:color w:val="000000"/>
          <w:lang w:eastAsia="zh-CN"/>
        </w:rPr>
        <w:t>芹江东路</w:t>
      </w:r>
      <w:r>
        <w:rPr>
          <w:rFonts w:hint="eastAsia"/>
          <w:color w:val="000000"/>
          <w:lang w:val="en-US" w:eastAsia="zh-CN"/>
        </w:rPr>
        <w:t>288号3幢507</w:t>
      </w:r>
      <w:r>
        <w:rPr>
          <w:rFonts w:hint="eastAsia"/>
          <w:color w:val="000000"/>
        </w:rPr>
        <w:t>室</w:t>
      </w:r>
    </w:p>
    <w:p>
      <w:pPr>
        <w:snapToGrid w:val="0"/>
        <w:spacing w:line="360" w:lineRule="auto"/>
        <w:rPr>
          <w:rFonts w:ascii="仿宋_GB2312" w:eastAsia="仿宋_GB2312"/>
          <w:color w:val="000000"/>
          <w:sz w:val="24"/>
        </w:rPr>
      </w:pPr>
      <w:r>
        <w:rPr>
          <w:rFonts w:hint="eastAsia"/>
          <w:color w:val="000000"/>
        </w:rPr>
        <w:t>法定代表人：</w:t>
      </w:r>
      <w:r>
        <w:rPr>
          <w:rFonts w:hint="eastAsia"/>
          <w:color w:val="000000"/>
          <w:lang w:eastAsia="zh-CN"/>
        </w:rPr>
        <w:t>马伟民</w:t>
      </w:r>
    </w:p>
    <w:p>
      <w:pPr>
        <w:snapToGrid w:val="0"/>
        <w:spacing w:line="360" w:lineRule="auto"/>
        <w:rPr>
          <w:color w:val="000000"/>
        </w:rPr>
      </w:pPr>
      <w:r>
        <w:rPr>
          <w:rFonts w:hint="eastAsia"/>
          <w:color w:val="000000"/>
          <w:lang w:eastAsia="zh-CN"/>
        </w:rPr>
        <w:t>统一社会信用代码：</w:t>
      </w:r>
      <w:r>
        <w:rPr>
          <w:rFonts w:hint="eastAsia"/>
          <w:color w:val="000000"/>
          <w:lang w:val="en-US" w:eastAsia="zh-CN"/>
        </w:rPr>
        <w:t>91330800MA29TK0K5R</w:t>
      </w:r>
      <w:r>
        <w:rPr>
          <w:rFonts w:hint="eastAsia"/>
          <w:color w:val="000000"/>
        </w:rPr>
        <w:t xml:space="preserve">            电话：</w:t>
      </w:r>
      <w:r>
        <w:rPr>
          <w:rFonts w:hint="eastAsia"/>
          <w:color w:val="000000"/>
          <w:lang w:val="en-US" w:eastAsia="zh-CN"/>
        </w:rPr>
        <w:t>3810835</w:t>
      </w:r>
    </w:p>
    <w:p>
      <w:pPr>
        <w:snapToGrid w:val="0"/>
        <w:spacing w:line="360" w:lineRule="auto"/>
        <w:rPr>
          <w:color w:val="000000"/>
        </w:rPr>
      </w:pPr>
      <w:r>
        <w:rPr>
          <w:rFonts w:hint="eastAsia"/>
          <w:color w:val="000000"/>
        </w:rPr>
        <w:t>开户银行：</w:t>
      </w:r>
      <w:r>
        <w:rPr>
          <w:rFonts w:hint="eastAsia"/>
          <w:color w:val="000000"/>
          <w:lang w:eastAsia="zh-CN"/>
        </w:rPr>
        <w:t>温州银行</w:t>
      </w:r>
      <w:r>
        <w:rPr>
          <w:rFonts w:hint="eastAsia" w:ascii="黑体" w:eastAsia="黑体"/>
          <w:b/>
          <w:color w:val="000000"/>
          <w:sz w:val="24"/>
        </w:rPr>
        <w:t xml:space="preserve">    </w:t>
      </w:r>
      <w:r>
        <w:rPr>
          <w:rFonts w:hint="eastAsia"/>
          <w:color w:val="000000"/>
        </w:rPr>
        <w:t xml:space="preserve"> 账号：</w:t>
      </w:r>
      <w:r>
        <w:rPr>
          <w:rFonts w:hint="eastAsia"/>
          <w:color w:val="000000"/>
          <w:lang w:val="en-US" w:eastAsia="zh-CN"/>
        </w:rPr>
        <w:t>901000120190026422</w:t>
      </w:r>
    </w:p>
    <w:p>
      <w:pPr>
        <w:snapToGrid w:val="0"/>
        <w:spacing w:line="360" w:lineRule="auto"/>
        <w:rPr>
          <w:color w:val="000000"/>
        </w:rPr>
      </w:pPr>
    </w:p>
    <w:p>
      <w:pPr>
        <w:snapToGrid w:val="0"/>
        <w:spacing w:line="360" w:lineRule="auto"/>
        <w:rPr>
          <w:color w:val="000000"/>
        </w:rPr>
      </w:pPr>
    </w:p>
    <w:p>
      <w:pPr>
        <w:snapToGrid w:val="0"/>
        <w:spacing w:line="360" w:lineRule="auto"/>
        <w:rPr>
          <w:color w:val="000000"/>
        </w:rPr>
      </w:pPr>
    </w:p>
    <w:p>
      <w:pPr>
        <w:snapToGrid w:val="0"/>
        <w:spacing w:line="360" w:lineRule="auto"/>
        <w:rPr>
          <w:color w:val="000000"/>
        </w:rPr>
      </w:pPr>
    </w:p>
    <w:p>
      <w:pPr>
        <w:snapToGrid w:val="0"/>
        <w:spacing w:line="360" w:lineRule="auto"/>
        <w:rPr>
          <w:rFonts w:ascii="仿宋_GB2312" w:eastAsia="仿宋_GB2312"/>
          <w:color w:val="000000"/>
          <w:sz w:val="30"/>
          <w:szCs w:val="30"/>
        </w:rPr>
      </w:pPr>
      <w:r>
        <w:rPr>
          <w:rFonts w:hint="eastAsia"/>
          <w:color w:val="000000"/>
        </w:rPr>
        <w:t>受让方（以下简称乙方）：</w:t>
      </w:r>
    </w:p>
    <w:p>
      <w:pPr>
        <w:snapToGrid w:val="0"/>
        <w:spacing w:line="360" w:lineRule="auto"/>
        <w:rPr>
          <w:color w:val="000000"/>
        </w:rPr>
      </w:pPr>
      <w:r>
        <w:rPr>
          <w:rFonts w:hint="eastAsia"/>
          <w:color w:val="000000"/>
        </w:rPr>
        <w:t>注册地址/住所：</w:t>
      </w:r>
    </w:p>
    <w:p>
      <w:pPr>
        <w:snapToGrid w:val="0"/>
        <w:spacing w:line="360" w:lineRule="auto"/>
        <w:rPr>
          <w:rFonts w:ascii="仿宋_GB2312" w:eastAsia="仿宋_GB2312"/>
          <w:color w:val="000000"/>
          <w:sz w:val="24"/>
        </w:rPr>
      </w:pPr>
      <w:r>
        <w:rPr>
          <w:rFonts w:hint="eastAsia"/>
          <w:color w:val="000000"/>
        </w:rPr>
        <w:t>法定代表人：</w:t>
      </w:r>
    </w:p>
    <w:p>
      <w:pPr>
        <w:snapToGrid w:val="0"/>
        <w:spacing w:line="360" w:lineRule="auto"/>
        <w:rPr>
          <w:color w:val="000000"/>
        </w:rPr>
      </w:pPr>
      <w:r>
        <w:rPr>
          <w:rFonts w:hint="eastAsia"/>
          <w:color w:val="000000"/>
        </w:rPr>
        <w:t>身份证：                                电话：</w:t>
      </w:r>
    </w:p>
    <w:p>
      <w:pPr>
        <w:snapToGrid w:val="0"/>
        <w:spacing w:line="360" w:lineRule="auto"/>
        <w:rPr>
          <w:rFonts w:ascii="黑体" w:eastAsia="黑体"/>
          <w:b/>
          <w:color w:val="000000"/>
        </w:rPr>
      </w:pPr>
      <w:r>
        <w:rPr>
          <w:rFonts w:hint="eastAsia"/>
          <w:color w:val="000000"/>
        </w:rPr>
        <w:t xml:space="preserve">开户银行：            </w:t>
      </w:r>
      <w:r>
        <w:rPr>
          <w:rFonts w:hint="eastAsia" w:ascii="黑体" w:eastAsia="黑体"/>
          <w:b/>
          <w:color w:val="000000"/>
          <w:sz w:val="24"/>
        </w:rPr>
        <w:t xml:space="preserve">               </w:t>
      </w:r>
      <w:r>
        <w:rPr>
          <w:rFonts w:hint="eastAsia"/>
          <w:color w:val="000000"/>
        </w:rPr>
        <w:t xml:space="preserve"> 账号：</w:t>
      </w:r>
    </w:p>
    <w:p>
      <w:pPr>
        <w:spacing w:line="520" w:lineRule="exact"/>
        <w:ind w:firstLine="420"/>
        <w:rPr>
          <w:b/>
          <w:color w:val="000000"/>
        </w:rPr>
      </w:pPr>
      <w:r>
        <w:rPr>
          <w:color w:val="000000"/>
        </w:rPr>
        <w:br w:type="page"/>
      </w:r>
      <w:r>
        <w:rPr>
          <w:rFonts w:hint="eastAsia"/>
          <w:b/>
          <w:color w:val="000000"/>
        </w:rPr>
        <w:t>鉴于：</w:t>
      </w:r>
    </w:p>
    <w:p>
      <w:pPr>
        <w:numPr>
          <w:ilvl w:val="0"/>
          <w:numId w:val="19"/>
        </w:numPr>
        <w:spacing w:line="520" w:lineRule="exact"/>
        <w:ind w:left="0" w:firstLine="420" w:firstLineChars="200"/>
        <w:rPr>
          <w:color w:val="000000"/>
        </w:rPr>
      </w:pPr>
      <w:r>
        <w:rPr>
          <w:rFonts w:hint="eastAsia"/>
          <w:color w:val="000000"/>
        </w:rPr>
        <w:t>甲方为依中国法律设立并合法存续的企业法人，为</w:t>
      </w:r>
      <w:r>
        <w:rPr>
          <w:rFonts w:hint="eastAsia"/>
          <w:color w:val="000000"/>
          <w:u w:val="single"/>
        </w:rPr>
        <w:t>有限责任公司（非自然人投资或控股的法人独资）</w:t>
      </w:r>
      <w:r>
        <w:rPr>
          <w:rFonts w:hint="eastAsia"/>
          <w:color w:val="000000"/>
        </w:rPr>
        <w:t>，注册证号：</w:t>
      </w:r>
      <w:r>
        <w:rPr>
          <w:rFonts w:hint="eastAsia"/>
          <w:color w:val="000000"/>
          <w:u w:val="single"/>
          <w:lang w:val="en-US" w:eastAsia="zh-CN"/>
        </w:rPr>
        <w:t>91330800MA29TK0K5R</w:t>
      </w:r>
      <w:r>
        <w:rPr>
          <w:rFonts w:hint="eastAsia"/>
          <w:color w:val="000000"/>
        </w:rPr>
        <w:t xml:space="preserve"> ；</w:t>
      </w:r>
    </w:p>
    <w:p>
      <w:pPr>
        <w:numPr>
          <w:ilvl w:val="0"/>
          <w:numId w:val="19"/>
        </w:numPr>
        <w:spacing w:line="520" w:lineRule="exact"/>
        <w:ind w:left="0" w:firstLine="420" w:firstLineChars="200"/>
        <w:rPr>
          <w:color w:val="000000"/>
        </w:rPr>
      </w:pPr>
      <w:r>
        <w:rPr>
          <w:rFonts w:hint="eastAsia"/>
          <w:color w:val="000000"/>
        </w:rPr>
        <w:t>本合同所涉及之标的企业</w:t>
      </w:r>
      <w:r>
        <w:rPr>
          <w:rFonts w:hint="eastAsia"/>
          <w:color w:val="000000"/>
          <w:u w:val="single"/>
        </w:rPr>
        <w:t xml:space="preserve"> 衢州</w:t>
      </w:r>
      <w:r>
        <w:rPr>
          <w:rFonts w:hint="eastAsia"/>
          <w:color w:val="000000"/>
          <w:u w:val="single"/>
          <w:lang w:eastAsia="zh-CN"/>
        </w:rPr>
        <w:t>衢海百川资产管理</w:t>
      </w:r>
      <w:r>
        <w:rPr>
          <w:rFonts w:hint="eastAsia"/>
          <w:color w:val="000000"/>
          <w:u w:val="single"/>
        </w:rPr>
        <w:t xml:space="preserve">有限公司 </w:t>
      </w:r>
      <w:r>
        <w:rPr>
          <w:rFonts w:hint="eastAsia"/>
          <w:color w:val="000000"/>
        </w:rPr>
        <w:t>（下称标的企业）是合法存续的、并由甲方合法持有</w:t>
      </w:r>
      <w:r>
        <w:rPr>
          <w:rFonts w:hint="eastAsia"/>
          <w:color w:val="000000"/>
          <w:u w:val="single"/>
          <w:lang w:val="en-US" w:eastAsia="zh-CN"/>
        </w:rPr>
        <w:t>40</w:t>
      </w:r>
      <w:r>
        <w:rPr>
          <w:rFonts w:hint="eastAsia"/>
          <w:color w:val="000000"/>
          <w:u w:val="single"/>
        </w:rPr>
        <w:t xml:space="preserve"> </w:t>
      </w:r>
      <w:r>
        <w:rPr>
          <w:rFonts w:hint="eastAsia"/>
          <w:color w:val="000000"/>
        </w:rPr>
        <w:t>%股权的企业法人，具有独立的企业法人资格，注册证号：</w:t>
      </w:r>
      <w:r>
        <w:rPr>
          <w:rFonts w:hint="eastAsia"/>
          <w:color w:val="000000"/>
          <w:u w:val="single"/>
          <w:lang w:val="en-US" w:eastAsia="zh-CN"/>
        </w:rPr>
        <w:t>91330800MA28F70762</w:t>
      </w:r>
      <w:r>
        <w:rPr>
          <w:rFonts w:hint="eastAsia"/>
          <w:color w:val="000000"/>
        </w:rPr>
        <w:t>；</w:t>
      </w:r>
    </w:p>
    <w:p>
      <w:pPr>
        <w:numPr>
          <w:ilvl w:val="0"/>
          <w:numId w:val="19"/>
        </w:numPr>
        <w:spacing w:line="520" w:lineRule="exact"/>
        <w:ind w:left="0" w:firstLine="420" w:firstLineChars="200"/>
        <w:rPr>
          <w:color w:val="000000"/>
        </w:rPr>
      </w:pPr>
      <w:r>
        <w:rPr>
          <w:rFonts w:hint="eastAsia"/>
          <w:color w:val="000000"/>
        </w:rPr>
        <w:t>乙方为依据</w:t>
      </w:r>
      <w:r>
        <w:rPr>
          <w:rFonts w:hint="eastAsia"/>
          <w:color w:val="000000"/>
          <w:u w:val="single"/>
        </w:rPr>
        <w:t xml:space="preserve">    </w:t>
      </w:r>
      <w:r>
        <w:rPr>
          <w:rFonts w:hint="eastAsia"/>
          <w:color w:val="000000"/>
        </w:rPr>
        <w:t>国法律依法设立并合法存续的</w:t>
      </w:r>
      <w:r>
        <w:rPr>
          <w:rFonts w:hint="eastAsia"/>
          <w:color w:val="000000"/>
          <w:u w:val="single"/>
        </w:rPr>
        <w:t xml:space="preserve">           </w:t>
      </w:r>
      <w:r>
        <w:rPr>
          <w:rFonts w:hint="eastAsia"/>
          <w:color w:val="000000"/>
        </w:rPr>
        <w:t>（性质）的企业、或机构，注册证号：</w:t>
      </w:r>
      <w:r>
        <w:rPr>
          <w:rFonts w:hint="eastAsia"/>
          <w:color w:val="000000"/>
          <w:u w:val="single"/>
        </w:rPr>
        <w:t xml:space="preserve">              </w:t>
      </w:r>
      <w:r>
        <w:rPr>
          <w:rFonts w:hint="eastAsia"/>
          <w:color w:val="000000"/>
        </w:rPr>
        <w:t>。</w:t>
      </w:r>
    </w:p>
    <w:p>
      <w:pPr>
        <w:numPr>
          <w:ilvl w:val="0"/>
          <w:numId w:val="19"/>
        </w:numPr>
        <w:spacing w:line="520" w:lineRule="exact"/>
        <w:ind w:left="0" w:firstLine="420" w:firstLineChars="200"/>
        <w:rPr>
          <w:color w:val="000000"/>
        </w:rPr>
      </w:pPr>
      <w:r>
        <w:rPr>
          <w:rFonts w:hint="eastAsia"/>
          <w:color w:val="000000"/>
        </w:rPr>
        <w:t>甲方同意转让其合法持有的标的企业的产权或股权；乙方同意收购上述产权或股权。</w:t>
      </w:r>
    </w:p>
    <w:p>
      <w:pPr>
        <w:spacing w:line="360" w:lineRule="auto"/>
        <w:ind w:firstLine="420" w:firstLineChars="200"/>
        <w:rPr>
          <w:color w:val="000000"/>
        </w:rPr>
      </w:pPr>
    </w:p>
    <w:p>
      <w:pPr>
        <w:spacing w:line="360" w:lineRule="auto"/>
        <w:ind w:firstLine="420" w:firstLineChars="200"/>
        <w:jc w:val="left"/>
        <w:rPr>
          <w:color w:val="000000"/>
        </w:rPr>
      </w:pPr>
      <w:r>
        <w:rPr>
          <w:rFonts w:hint="eastAsia"/>
          <w:color w:val="000000"/>
        </w:rPr>
        <w:t>根据《中华人民共和国合同法》和《企业国有资产交易监督管理办法》等相关法律、法规、规章的规定，甲、乙双方遵循自愿、公平、诚实信用的原则，经</w:t>
      </w:r>
      <w:r>
        <w:rPr>
          <w:color w:val="000000"/>
        </w:rPr>
        <w:t>法定程序，</w:t>
      </w:r>
      <w:r>
        <w:rPr>
          <w:rFonts w:hint="eastAsia"/>
          <w:color w:val="000000"/>
        </w:rPr>
        <w:t>通过公开挂牌方式就甲方向乙方转让其拥有的</w:t>
      </w:r>
      <w:r>
        <w:rPr>
          <w:rFonts w:hint="eastAsia" w:ascii="仿宋_GB2312" w:eastAsia="仿宋_GB2312"/>
          <w:b/>
          <w:color w:val="000000"/>
          <w:sz w:val="24"/>
          <w:u w:val="single"/>
        </w:rPr>
        <w:t xml:space="preserve"> </w:t>
      </w:r>
      <w:r>
        <w:rPr>
          <w:rFonts w:hint="eastAsia" w:ascii="宋体" w:hAnsi="宋体"/>
          <w:szCs w:val="21"/>
          <w:u w:val="single"/>
        </w:rPr>
        <w:t>衢州</w:t>
      </w:r>
      <w:r>
        <w:rPr>
          <w:rFonts w:hint="eastAsia" w:ascii="宋体" w:hAnsi="宋体"/>
          <w:szCs w:val="21"/>
          <w:u w:val="single"/>
          <w:lang w:eastAsia="zh-CN"/>
        </w:rPr>
        <w:t>衢海百川资产管理</w:t>
      </w:r>
      <w:r>
        <w:rPr>
          <w:rFonts w:hint="eastAsia" w:ascii="宋体" w:hAnsi="宋体"/>
          <w:szCs w:val="21"/>
          <w:u w:val="single"/>
        </w:rPr>
        <w:t>有限公司</w:t>
      </w:r>
      <w:r>
        <w:rPr>
          <w:rFonts w:hint="eastAsia" w:ascii="宋体" w:hAnsi="宋体"/>
          <w:szCs w:val="21"/>
          <w:u w:val="single"/>
          <w:lang w:val="en-US" w:eastAsia="zh-CN"/>
        </w:rPr>
        <w:t>4</w:t>
      </w:r>
      <w:r>
        <w:rPr>
          <w:rFonts w:hint="eastAsia" w:ascii="宋体" w:hAnsi="宋体"/>
          <w:szCs w:val="21"/>
          <w:u w:val="single"/>
        </w:rPr>
        <w:t>0</w:t>
      </w:r>
      <w:r>
        <w:rPr>
          <w:rFonts w:hint="eastAsia" w:ascii="宋体" w:hAnsi="宋体"/>
          <w:color w:val="000000"/>
          <w:szCs w:val="21"/>
          <w:u w:val="single"/>
        </w:rPr>
        <w:t>%股权</w:t>
      </w:r>
      <w:r>
        <w:rPr>
          <w:rFonts w:hint="eastAsia"/>
          <w:color w:val="000000"/>
        </w:rPr>
        <w:t>相关事宜达成一致，订立本产权交易合同（以下简称“</w:t>
      </w:r>
      <w:r>
        <w:rPr>
          <w:rFonts w:hint="eastAsia"/>
          <w:b/>
          <w:bCs/>
          <w:color w:val="000000"/>
        </w:rPr>
        <w:t>本合同</w:t>
      </w:r>
      <w:r>
        <w:rPr>
          <w:rFonts w:hint="eastAsia"/>
          <w:bCs/>
          <w:color w:val="000000"/>
        </w:rPr>
        <w:t>”</w:t>
      </w:r>
      <w:r>
        <w:rPr>
          <w:rFonts w:hint="eastAsia"/>
          <w:color w:val="000000"/>
        </w:rPr>
        <w:t>）如下：</w:t>
      </w:r>
    </w:p>
    <w:p>
      <w:pPr>
        <w:spacing w:line="360" w:lineRule="auto"/>
        <w:ind w:firstLine="420" w:firstLineChars="200"/>
        <w:rPr>
          <w:color w:val="000000"/>
        </w:rPr>
      </w:pPr>
    </w:p>
    <w:p>
      <w:pPr>
        <w:numPr>
          <w:ilvl w:val="0"/>
          <w:numId w:val="20"/>
        </w:numPr>
        <w:tabs>
          <w:tab w:val="left" w:pos="720"/>
          <w:tab w:val="clear" w:pos="1140"/>
        </w:tabs>
        <w:spacing w:line="520" w:lineRule="exact"/>
        <w:ind w:left="0" w:firstLine="420" w:firstLineChars="200"/>
        <w:rPr>
          <w:rFonts w:ascii="宋体" w:hAnsi="宋体"/>
          <w:b/>
          <w:bCs/>
          <w:color w:val="000000"/>
          <w:szCs w:val="21"/>
        </w:rPr>
      </w:pPr>
      <w:r>
        <w:rPr>
          <w:rFonts w:hint="eastAsia" w:ascii="宋体" w:hAnsi="宋体"/>
          <w:b/>
          <w:bCs/>
          <w:color w:val="000000"/>
          <w:szCs w:val="21"/>
        </w:rPr>
        <w:t>定义与释义</w:t>
      </w:r>
    </w:p>
    <w:p>
      <w:pPr>
        <w:spacing w:line="520" w:lineRule="exact"/>
        <w:ind w:firstLine="470" w:firstLineChars="224"/>
        <w:rPr>
          <w:rFonts w:ascii="宋体" w:hAnsi="宋体"/>
          <w:bCs/>
          <w:color w:val="000000"/>
          <w:szCs w:val="21"/>
        </w:rPr>
      </w:pPr>
      <w:r>
        <w:rPr>
          <w:rFonts w:hint="eastAsia" w:ascii="宋体" w:hAnsi="宋体"/>
          <w:bCs/>
          <w:color w:val="000000"/>
          <w:szCs w:val="21"/>
        </w:rPr>
        <w:t>除非本合同中另有约定，本合同中的有关词语含义如下：</w:t>
      </w:r>
    </w:p>
    <w:p>
      <w:pPr>
        <w:spacing w:line="520" w:lineRule="exact"/>
        <w:ind w:left="420" w:leftChars="200"/>
        <w:rPr>
          <w:rFonts w:ascii="宋体" w:hAnsi="宋体"/>
          <w:bCs/>
          <w:color w:val="000000"/>
          <w:szCs w:val="21"/>
        </w:rPr>
      </w:pPr>
      <w:r>
        <w:rPr>
          <w:rFonts w:hint="eastAsia" w:ascii="宋体" w:hAnsi="宋体"/>
          <w:bCs/>
          <w:color w:val="000000"/>
          <w:szCs w:val="21"/>
        </w:rPr>
        <w:t xml:space="preserve">1.转让方，是指 </w:t>
      </w:r>
      <w:r>
        <w:rPr>
          <w:rFonts w:hint="eastAsia" w:ascii="宋体" w:hAnsi="宋体"/>
          <w:bCs/>
          <w:color w:val="000000"/>
          <w:szCs w:val="21"/>
          <w:u w:val="single"/>
        </w:rPr>
        <w:t>衢州市</w:t>
      </w:r>
      <w:r>
        <w:rPr>
          <w:rFonts w:hint="eastAsia" w:ascii="宋体" w:hAnsi="宋体"/>
          <w:bCs/>
          <w:color w:val="000000"/>
          <w:szCs w:val="21"/>
          <w:u w:val="single"/>
          <w:lang w:eastAsia="zh-CN"/>
        </w:rPr>
        <w:t>金融控股集团有限</w:t>
      </w:r>
      <w:r>
        <w:rPr>
          <w:rFonts w:hint="eastAsia" w:ascii="宋体" w:hAnsi="宋体"/>
          <w:bCs/>
          <w:color w:val="000000"/>
          <w:szCs w:val="21"/>
          <w:u w:val="single"/>
        </w:rPr>
        <w:t>公司</w:t>
      </w:r>
      <w:r>
        <w:rPr>
          <w:rFonts w:hint="eastAsia" w:ascii="宋体" w:hAnsi="宋体"/>
          <w:color w:val="000000"/>
          <w:szCs w:val="21"/>
        </w:rPr>
        <w:t>(企业名称)</w:t>
      </w:r>
      <w:r>
        <w:rPr>
          <w:rFonts w:hint="eastAsia" w:ascii="宋体" w:hAnsi="宋体"/>
          <w:bCs/>
          <w:color w:val="000000"/>
          <w:szCs w:val="21"/>
        </w:rPr>
        <w:t>，即甲方；</w:t>
      </w:r>
    </w:p>
    <w:p>
      <w:pPr>
        <w:spacing w:line="520" w:lineRule="exact"/>
        <w:ind w:left="420" w:leftChars="200"/>
        <w:rPr>
          <w:rFonts w:ascii="宋体" w:hAnsi="宋体"/>
          <w:bCs/>
          <w:color w:val="000000"/>
          <w:szCs w:val="21"/>
        </w:rPr>
      </w:pPr>
      <w:r>
        <w:rPr>
          <w:rFonts w:hint="eastAsia" w:ascii="宋体" w:hAnsi="宋体"/>
          <w:bCs/>
          <w:color w:val="000000"/>
          <w:szCs w:val="21"/>
        </w:rPr>
        <w:t>2.受让方，是指</w:t>
      </w:r>
      <w:r>
        <w:rPr>
          <w:rFonts w:hint="eastAsia" w:ascii="宋体" w:hAnsi="宋体"/>
          <w:color w:val="000000"/>
          <w:szCs w:val="21"/>
        </w:rPr>
        <w:t xml:space="preserve"> </w:t>
      </w:r>
      <w:r>
        <w:rPr>
          <w:rFonts w:hint="eastAsia" w:ascii="宋体" w:hAnsi="宋体"/>
          <w:color w:val="000000"/>
          <w:szCs w:val="21"/>
          <w:u w:val="single"/>
        </w:rPr>
        <w:t xml:space="preserve">                    </w:t>
      </w:r>
      <w:r>
        <w:rPr>
          <w:rFonts w:hint="eastAsia" w:ascii="宋体" w:hAnsi="宋体"/>
          <w:color w:val="000000"/>
          <w:szCs w:val="21"/>
        </w:rPr>
        <w:t>(企业名称或自然人姓名)</w:t>
      </w:r>
      <w:r>
        <w:rPr>
          <w:rFonts w:hint="eastAsia" w:ascii="宋体" w:hAnsi="宋体"/>
          <w:bCs/>
          <w:color w:val="000000"/>
          <w:szCs w:val="21"/>
        </w:rPr>
        <w:t>，即乙方；</w:t>
      </w:r>
    </w:p>
    <w:p>
      <w:pPr>
        <w:spacing w:line="520" w:lineRule="exact"/>
        <w:ind w:left="420" w:leftChars="200"/>
        <w:rPr>
          <w:rFonts w:ascii="宋体" w:hAnsi="宋体"/>
          <w:bCs/>
          <w:color w:val="000000"/>
          <w:szCs w:val="21"/>
        </w:rPr>
      </w:pPr>
      <w:r>
        <w:rPr>
          <w:rFonts w:hint="eastAsia" w:ascii="宋体" w:hAnsi="宋体"/>
          <w:bCs/>
          <w:color w:val="000000"/>
          <w:szCs w:val="21"/>
        </w:rPr>
        <w:t>3.产权交易中心，是指衢州市产权交易中心有限公司；</w:t>
      </w:r>
    </w:p>
    <w:p>
      <w:pPr>
        <w:spacing w:line="520" w:lineRule="exact"/>
        <w:ind w:left="420" w:leftChars="200"/>
        <w:rPr>
          <w:rFonts w:ascii="宋体" w:hAnsi="宋体"/>
          <w:bCs/>
          <w:color w:val="000000"/>
          <w:szCs w:val="21"/>
        </w:rPr>
      </w:pPr>
      <w:r>
        <w:rPr>
          <w:rFonts w:hint="eastAsia" w:ascii="宋体" w:hAnsi="宋体"/>
          <w:bCs/>
          <w:color w:val="000000"/>
          <w:szCs w:val="21"/>
        </w:rPr>
        <w:t>4.产权转让：是指甲方将其持有的标的企业</w:t>
      </w:r>
      <w:r>
        <w:rPr>
          <w:rFonts w:hint="eastAsia" w:ascii="宋体" w:hAnsi="宋体"/>
          <w:bCs/>
          <w:color w:val="000000"/>
          <w:szCs w:val="21"/>
          <w:u w:val="single"/>
          <w:lang w:val="en-US" w:eastAsia="zh-CN"/>
        </w:rPr>
        <w:t>4</w:t>
      </w:r>
      <w:r>
        <w:rPr>
          <w:rFonts w:hint="eastAsia" w:ascii="宋体" w:hAnsi="宋体"/>
          <w:bCs/>
          <w:color w:val="000000"/>
          <w:szCs w:val="21"/>
          <w:u w:val="single"/>
        </w:rPr>
        <w:t xml:space="preserve">0  </w:t>
      </w:r>
      <w:r>
        <w:rPr>
          <w:rFonts w:hint="eastAsia" w:ascii="宋体" w:hAnsi="宋体"/>
          <w:bCs/>
          <w:color w:val="000000"/>
          <w:szCs w:val="21"/>
        </w:rPr>
        <w:t>%股权转让给乙方；</w:t>
      </w:r>
    </w:p>
    <w:p>
      <w:pPr>
        <w:spacing w:line="520" w:lineRule="exact"/>
        <w:ind w:left="420" w:leftChars="200"/>
        <w:rPr>
          <w:rFonts w:ascii="宋体" w:hAnsi="宋体"/>
          <w:bCs/>
          <w:color w:val="000000"/>
          <w:szCs w:val="21"/>
        </w:rPr>
      </w:pPr>
      <w:r>
        <w:rPr>
          <w:rFonts w:hint="eastAsia" w:ascii="宋体" w:hAnsi="宋体"/>
          <w:bCs/>
          <w:color w:val="000000"/>
          <w:szCs w:val="21"/>
        </w:rPr>
        <w:t>5.转让价款：本合同下甲方就转让所持有的股权，自乙方获得的该股权的对价。</w:t>
      </w:r>
    </w:p>
    <w:p>
      <w:pPr>
        <w:spacing w:line="520" w:lineRule="exact"/>
        <w:ind w:left="420" w:leftChars="200"/>
        <w:rPr>
          <w:rFonts w:ascii="宋体" w:hAnsi="宋体"/>
          <w:color w:val="000000"/>
          <w:szCs w:val="21"/>
        </w:rPr>
      </w:pPr>
      <w:r>
        <w:rPr>
          <w:rFonts w:hint="eastAsia" w:ascii="宋体" w:hAnsi="宋体"/>
          <w:color w:val="000000"/>
          <w:szCs w:val="21"/>
        </w:rPr>
        <w:t>6.重大不利影响，是指在标的企业的财务或业务、资产、财产、收益及前景中发生的，</w:t>
      </w:r>
    </w:p>
    <w:p>
      <w:pPr>
        <w:spacing w:line="520" w:lineRule="exact"/>
        <w:rPr>
          <w:rFonts w:ascii="宋体" w:hAnsi="宋体"/>
          <w:bCs/>
          <w:color w:val="000000"/>
          <w:szCs w:val="21"/>
        </w:rPr>
      </w:pPr>
      <w:r>
        <w:rPr>
          <w:rFonts w:hint="eastAsia" w:ascii="宋体" w:hAnsi="宋体"/>
          <w:color w:val="000000"/>
          <w:szCs w:val="21"/>
        </w:rPr>
        <w:t>依据合理预计，单独或共同将导致任何改变或影响，而该等改变或影响会对(i)历史的、近期或长期计划的业务、资产、财产、经营结果、标的企业的状况(财务或其它)及前景，(ii)各方完成本合同下拟进行的交易，(iii)标的企业的价值，(iv)或转让方完成本合同下交易或履行其在本合同下义务的能力等，产生重大不利影响。</w:t>
      </w:r>
    </w:p>
    <w:p>
      <w:pPr>
        <w:numPr>
          <w:ilvl w:val="0"/>
          <w:numId w:val="21"/>
        </w:numPr>
        <w:spacing w:line="520" w:lineRule="exact"/>
        <w:ind w:left="420" w:leftChars="200"/>
        <w:rPr>
          <w:rFonts w:ascii="宋体" w:hAnsi="宋体"/>
          <w:bCs/>
          <w:color w:val="000000"/>
          <w:szCs w:val="21"/>
        </w:rPr>
      </w:pPr>
      <w:r>
        <w:rPr>
          <w:rFonts w:hint="eastAsia" w:ascii="宋体" w:hAnsi="宋体"/>
          <w:color w:val="000000"/>
          <w:szCs w:val="21"/>
        </w:rPr>
        <w:t>评估基准日,指甲方委托具有</w:t>
      </w:r>
      <w:r>
        <w:rPr>
          <w:rFonts w:hint="eastAsia"/>
          <w:color w:val="000000"/>
        </w:rPr>
        <w:t>评估资质的资产评估公司</w:t>
      </w:r>
      <w:r>
        <w:rPr>
          <w:rFonts w:hint="eastAsia" w:ascii="宋体" w:hAnsi="宋体"/>
          <w:color w:val="000000"/>
          <w:szCs w:val="21"/>
        </w:rPr>
        <w:t>进行评估并出具的《资产评估</w:t>
      </w:r>
    </w:p>
    <w:p>
      <w:pPr>
        <w:spacing w:line="520" w:lineRule="exact"/>
        <w:rPr>
          <w:rFonts w:ascii="宋体" w:hAnsi="宋体"/>
          <w:bCs/>
          <w:color w:val="000000"/>
          <w:szCs w:val="21"/>
        </w:rPr>
      </w:pPr>
      <w:r>
        <w:rPr>
          <w:rFonts w:hint="eastAsia" w:ascii="宋体" w:hAnsi="宋体"/>
          <w:color w:val="000000"/>
          <w:szCs w:val="21"/>
        </w:rPr>
        <w:t>报告书》的基准日，指</w:t>
      </w:r>
      <w:r>
        <w:rPr>
          <w:rFonts w:hint="eastAsia" w:ascii="宋体" w:hAnsi="宋体"/>
          <w:color w:val="000000"/>
          <w:szCs w:val="21"/>
          <w:u w:val="single"/>
        </w:rPr>
        <w:t xml:space="preserve"> 2018 </w:t>
      </w:r>
      <w:r>
        <w:rPr>
          <w:rFonts w:hint="eastAsia" w:ascii="宋体" w:hAnsi="宋体"/>
          <w:color w:val="000000"/>
          <w:szCs w:val="21"/>
        </w:rPr>
        <w:t>年</w:t>
      </w:r>
      <w:r>
        <w:rPr>
          <w:rFonts w:hint="eastAsia" w:ascii="宋体" w:hAnsi="宋体"/>
          <w:color w:val="000000"/>
          <w:szCs w:val="21"/>
          <w:u w:val="single"/>
        </w:rPr>
        <w:t xml:space="preserve"> 12 </w:t>
      </w:r>
      <w:r>
        <w:rPr>
          <w:rFonts w:hint="eastAsia" w:ascii="宋体" w:hAnsi="宋体"/>
          <w:color w:val="000000"/>
          <w:szCs w:val="21"/>
        </w:rPr>
        <w:t>月</w:t>
      </w:r>
      <w:r>
        <w:rPr>
          <w:rFonts w:hint="eastAsia" w:ascii="宋体" w:hAnsi="宋体"/>
          <w:color w:val="000000"/>
          <w:szCs w:val="21"/>
          <w:u w:val="single"/>
        </w:rPr>
        <w:t xml:space="preserve"> 31 </w:t>
      </w:r>
      <w:r>
        <w:rPr>
          <w:rFonts w:hint="eastAsia" w:ascii="宋体" w:hAnsi="宋体"/>
          <w:color w:val="000000"/>
          <w:szCs w:val="21"/>
        </w:rPr>
        <w:t>日。</w:t>
      </w:r>
    </w:p>
    <w:p>
      <w:pPr>
        <w:spacing w:line="520" w:lineRule="exact"/>
        <w:ind w:firstLine="420" w:firstLineChars="200"/>
        <w:rPr>
          <w:rFonts w:ascii="宋体" w:hAnsi="宋体"/>
          <w:color w:val="000000"/>
          <w:szCs w:val="21"/>
        </w:rPr>
      </w:pPr>
      <w:r>
        <w:rPr>
          <w:rFonts w:hint="eastAsia" w:ascii="宋体" w:hAnsi="宋体"/>
          <w:color w:val="000000"/>
          <w:szCs w:val="21"/>
        </w:rPr>
        <w:t>8.竞买保证金，指在本合同签订前，乙方按照甲方和产权交易中心的要求，支付至产权交易中心指定账户的、作为乙方提出受让意向的担保，并表明其资信状况及履约能力的</w:t>
      </w:r>
      <w:r>
        <w:rPr>
          <w:rFonts w:hint="eastAsia" w:ascii="宋体" w:hAnsi="宋体"/>
          <w:color w:val="000000"/>
          <w:szCs w:val="21"/>
          <w:u w:val="single"/>
        </w:rPr>
        <w:t xml:space="preserve"> 伍仟</w:t>
      </w:r>
      <w:r>
        <w:rPr>
          <w:rFonts w:hint="eastAsia" w:ascii="宋体" w:hAnsi="宋体"/>
          <w:color w:val="000000"/>
          <w:szCs w:val="21"/>
        </w:rPr>
        <w:t>万元人民币；</w:t>
      </w:r>
    </w:p>
    <w:p>
      <w:pPr>
        <w:spacing w:line="520" w:lineRule="exact"/>
        <w:ind w:left="420" w:leftChars="200"/>
        <w:rPr>
          <w:rFonts w:ascii="宋体" w:hAnsi="宋体"/>
          <w:color w:val="000000"/>
          <w:szCs w:val="21"/>
        </w:rPr>
      </w:pPr>
      <w:r>
        <w:rPr>
          <w:rFonts w:hint="eastAsia" w:ascii="宋体" w:hAnsi="宋体"/>
          <w:szCs w:val="21"/>
        </w:rPr>
        <w:t>9.审批机关：指依法律、法规规定具有审批权限的机关或其地方授权机关</w:t>
      </w:r>
      <w:r>
        <w:rPr>
          <w:rFonts w:hint="eastAsia" w:ascii="宋体" w:hAnsi="宋体"/>
          <w:color w:val="000000"/>
          <w:szCs w:val="21"/>
        </w:rPr>
        <w:t>；</w:t>
      </w:r>
    </w:p>
    <w:p>
      <w:pPr>
        <w:spacing w:line="520" w:lineRule="exact"/>
        <w:ind w:left="420" w:leftChars="200"/>
        <w:rPr>
          <w:rFonts w:ascii="宋体" w:hAnsi="宋体"/>
          <w:color w:val="000000"/>
          <w:szCs w:val="21"/>
        </w:rPr>
      </w:pPr>
      <w:r>
        <w:rPr>
          <w:rFonts w:hint="eastAsia" w:ascii="宋体" w:hAnsi="宋体"/>
          <w:color w:val="000000"/>
          <w:szCs w:val="21"/>
        </w:rPr>
        <w:t>10.登记机关：指中华人民共和国工商行政管理总局或其地方授权机关；</w:t>
      </w:r>
    </w:p>
    <w:p>
      <w:pPr>
        <w:spacing w:line="520" w:lineRule="exact"/>
        <w:ind w:left="420" w:leftChars="200"/>
        <w:rPr>
          <w:rFonts w:ascii="宋体" w:hAnsi="宋体"/>
          <w:bCs/>
          <w:color w:val="000000"/>
          <w:szCs w:val="21"/>
        </w:rPr>
      </w:pPr>
      <w:r>
        <w:rPr>
          <w:rFonts w:hint="eastAsia" w:ascii="宋体" w:hAnsi="宋体"/>
          <w:bCs/>
          <w:color w:val="000000"/>
          <w:szCs w:val="21"/>
        </w:rPr>
        <w:t>11.产权/股权转让完成：是指甲乙双方将产权或股权转让事宜记载于股东名册并办理</w:t>
      </w:r>
    </w:p>
    <w:p>
      <w:pPr>
        <w:spacing w:line="520" w:lineRule="exact"/>
        <w:rPr>
          <w:rFonts w:ascii="宋体" w:hAnsi="宋体"/>
          <w:color w:val="000000"/>
          <w:szCs w:val="21"/>
        </w:rPr>
      </w:pPr>
      <w:r>
        <w:rPr>
          <w:rFonts w:hint="eastAsia" w:ascii="宋体" w:hAnsi="宋体"/>
          <w:bCs/>
          <w:color w:val="000000"/>
          <w:szCs w:val="21"/>
        </w:rPr>
        <w:t>完毕工商变更登记手续，或在股权托管机构办理完毕转让手续并办理完毕工商变更登记手续。</w:t>
      </w:r>
    </w:p>
    <w:p>
      <w:pPr>
        <w:spacing w:line="520" w:lineRule="exact"/>
        <w:ind w:left="420" w:leftChars="200"/>
        <w:rPr>
          <w:rFonts w:ascii="宋体" w:hAnsi="宋体"/>
          <w:color w:val="000000"/>
          <w:szCs w:val="21"/>
        </w:rPr>
      </w:pPr>
      <w:r>
        <w:rPr>
          <w:rFonts w:hint="eastAsia" w:ascii="宋体" w:hAnsi="宋体"/>
          <w:bCs/>
          <w:color w:val="000000"/>
          <w:szCs w:val="21"/>
        </w:rPr>
        <w:t>12.过渡期：</w:t>
      </w:r>
      <w:r>
        <w:rPr>
          <w:rFonts w:hint="eastAsia" w:ascii="宋体" w:hAnsi="宋体"/>
          <w:color w:val="000000"/>
          <w:szCs w:val="21"/>
        </w:rPr>
        <w:t>是指评估基准日至产权交割日的期间。</w:t>
      </w:r>
    </w:p>
    <w:p>
      <w:pPr>
        <w:spacing w:line="520" w:lineRule="exact"/>
        <w:ind w:left="420" w:leftChars="200"/>
        <w:rPr>
          <w:rFonts w:ascii="宋体" w:hAnsi="宋体"/>
          <w:color w:val="000000"/>
          <w:szCs w:val="21"/>
        </w:rPr>
      </w:pPr>
      <w:r>
        <w:rPr>
          <w:rFonts w:hint="eastAsia" w:ascii="宋体" w:hAnsi="宋体"/>
          <w:color w:val="000000"/>
          <w:szCs w:val="21"/>
        </w:rPr>
        <w:t>13.产权交易费用：指转让方和/或受让方或标的企业就转让产权或谈判、准备、签署</w:t>
      </w:r>
    </w:p>
    <w:p>
      <w:pPr>
        <w:spacing w:line="520" w:lineRule="exact"/>
        <w:rPr>
          <w:rFonts w:ascii="宋体" w:hAnsi="宋体"/>
          <w:color w:val="000000"/>
          <w:szCs w:val="21"/>
        </w:rPr>
      </w:pPr>
      <w:r>
        <w:rPr>
          <w:rFonts w:hint="eastAsia" w:ascii="宋体" w:hAnsi="宋体"/>
          <w:color w:val="000000"/>
          <w:szCs w:val="21"/>
        </w:rPr>
        <w:t>本合同和/或本合同下的任何文件、或履行、完成本合同下交易而发生的，包括取得必要或适当的任何政府部门或第三方的豁免、同意或批准而发生的费用及支出；以及产权交易机构或中间人费用等所有现款支出和服务费用的总额。</w:t>
      </w:r>
    </w:p>
    <w:p>
      <w:pPr>
        <w:numPr>
          <w:ilvl w:val="0"/>
          <w:numId w:val="22"/>
        </w:numPr>
        <w:spacing w:line="520" w:lineRule="exact"/>
        <w:ind w:left="420" w:leftChars="200"/>
        <w:rPr>
          <w:rFonts w:ascii="宋体" w:hAnsi="宋体"/>
          <w:color w:val="000000"/>
          <w:szCs w:val="21"/>
        </w:rPr>
      </w:pPr>
      <w:r>
        <w:rPr>
          <w:rFonts w:ascii="宋体" w:hAnsi="宋体"/>
          <w:color w:val="000000"/>
          <w:szCs w:val="21"/>
        </w:rPr>
        <w:t>产权交易凭证</w:t>
      </w:r>
      <w:r>
        <w:rPr>
          <w:rFonts w:hint="eastAsia" w:ascii="宋体" w:hAnsi="宋体"/>
          <w:color w:val="000000"/>
          <w:szCs w:val="21"/>
        </w:rPr>
        <w:t>，指产权交易中心就产权或股权转让事项出具的用于表明已按照交易</w:t>
      </w:r>
    </w:p>
    <w:p>
      <w:pPr>
        <w:spacing w:line="520" w:lineRule="exact"/>
        <w:rPr>
          <w:rFonts w:ascii="宋体" w:hAnsi="宋体"/>
          <w:color w:val="000000"/>
          <w:szCs w:val="21"/>
        </w:rPr>
      </w:pPr>
      <w:r>
        <w:rPr>
          <w:rFonts w:hint="eastAsia" w:ascii="宋体" w:hAnsi="宋体"/>
          <w:color w:val="000000"/>
          <w:szCs w:val="21"/>
        </w:rPr>
        <w:t>规则完成场内交易程序的《产权交易成交确认书》。</w:t>
      </w:r>
    </w:p>
    <w:p>
      <w:pPr>
        <w:pStyle w:val="35"/>
        <w:numPr>
          <w:ilvl w:val="0"/>
          <w:numId w:val="0"/>
        </w:numPr>
        <w:spacing w:after="0" w:line="520" w:lineRule="exact"/>
        <w:ind w:firstLine="472" w:firstLineChars="225"/>
        <w:jc w:val="both"/>
        <w:rPr>
          <w:rFonts w:ascii="宋体" w:hAnsi="宋体"/>
          <w:color w:val="000000"/>
          <w:sz w:val="21"/>
          <w:szCs w:val="21"/>
          <w:lang w:eastAsia="zh-CN"/>
        </w:rPr>
      </w:pPr>
    </w:p>
    <w:p>
      <w:pPr>
        <w:pStyle w:val="35"/>
        <w:numPr>
          <w:ilvl w:val="0"/>
          <w:numId w:val="0"/>
        </w:numPr>
        <w:spacing w:after="0" w:line="520" w:lineRule="exact"/>
        <w:ind w:firstLine="472" w:firstLineChars="225"/>
        <w:jc w:val="both"/>
        <w:rPr>
          <w:rFonts w:ascii="宋体" w:hAnsi="宋体"/>
          <w:color w:val="000000"/>
          <w:sz w:val="21"/>
          <w:szCs w:val="21"/>
          <w:lang w:eastAsia="zh-CN"/>
        </w:rPr>
      </w:pPr>
      <w:r>
        <w:rPr>
          <w:rFonts w:hint="eastAsia" w:ascii="宋体" w:hAnsi="宋体"/>
          <w:color w:val="000000"/>
          <w:sz w:val="21"/>
          <w:szCs w:val="21"/>
          <w:lang w:eastAsia="zh-CN"/>
        </w:rPr>
        <w:t>除非另有明确规定，在本合同中，应适用如下解释规则：</w:t>
      </w:r>
    </w:p>
    <w:p>
      <w:pPr>
        <w:spacing w:line="520" w:lineRule="exact"/>
        <w:ind w:firstLine="420" w:firstLineChars="200"/>
        <w:rPr>
          <w:rFonts w:ascii="宋体" w:hAnsi="宋体"/>
          <w:color w:val="000000"/>
          <w:szCs w:val="21"/>
        </w:rPr>
      </w:pPr>
      <w:r>
        <w:rPr>
          <w:rFonts w:hint="eastAsia" w:ascii="宋体" w:hAnsi="宋体"/>
          <w:color w:val="000000"/>
          <w:szCs w:val="21"/>
        </w:rPr>
        <w:t>16.货币：在本协议中，凡提及RMB或人民币时均指中国法定货币。</w:t>
      </w:r>
    </w:p>
    <w:p>
      <w:pPr>
        <w:spacing w:line="520" w:lineRule="exact"/>
        <w:ind w:left="420" w:leftChars="200"/>
        <w:rPr>
          <w:rFonts w:ascii="宋体" w:hAnsi="宋体"/>
          <w:color w:val="000000"/>
          <w:szCs w:val="21"/>
        </w:rPr>
      </w:pPr>
      <w:r>
        <w:rPr>
          <w:rFonts w:hint="eastAsia" w:ascii="宋体" w:hAnsi="宋体"/>
          <w:color w:val="000000"/>
          <w:szCs w:val="21"/>
        </w:rPr>
        <w:t>17.包括：指包括但不限于。</w:t>
      </w:r>
    </w:p>
    <w:p>
      <w:pPr>
        <w:spacing w:line="520" w:lineRule="exact"/>
        <w:ind w:left="840"/>
        <w:rPr>
          <w:rFonts w:ascii="宋体" w:hAnsi="宋体"/>
          <w:color w:val="000000"/>
          <w:szCs w:val="21"/>
        </w:rPr>
      </w:pPr>
    </w:p>
    <w:p>
      <w:pPr>
        <w:numPr>
          <w:ilvl w:val="0"/>
          <w:numId w:val="20"/>
        </w:numPr>
        <w:spacing w:line="360" w:lineRule="auto"/>
        <w:rPr>
          <w:b/>
          <w:bCs/>
          <w:color w:val="000000"/>
        </w:rPr>
      </w:pPr>
      <w:r>
        <w:rPr>
          <w:rFonts w:hint="eastAsia"/>
          <w:b/>
          <w:bCs/>
          <w:color w:val="000000"/>
        </w:rPr>
        <w:t>转让标的</w:t>
      </w:r>
    </w:p>
    <w:p>
      <w:pPr>
        <w:spacing w:line="360" w:lineRule="auto"/>
        <w:ind w:firstLine="420" w:firstLineChars="200"/>
        <w:rPr>
          <w:color w:val="000000"/>
        </w:rPr>
      </w:pPr>
      <w:r>
        <w:rPr>
          <w:rFonts w:hint="eastAsia"/>
          <w:color w:val="000000"/>
        </w:rPr>
        <w:t>1.本合同转让标的为：甲方所持有的</w:t>
      </w:r>
      <w:r>
        <w:rPr>
          <w:rFonts w:hint="eastAsia"/>
          <w:b/>
          <w:color w:val="000000"/>
          <w:u w:val="single"/>
        </w:rPr>
        <w:t xml:space="preserve"> </w:t>
      </w:r>
      <w:r>
        <w:rPr>
          <w:rFonts w:hint="eastAsia" w:ascii="宋体" w:hAnsi="宋体"/>
          <w:szCs w:val="21"/>
          <w:u w:val="single"/>
        </w:rPr>
        <w:t>衢州</w:t>
      </w:r>
      <w:r>
        <w:rPr>
          <w:rFonts w:hint="eastAsia" w:ascii="宋体" w:hAnsi="宋体"/>
          <w:szCs w:val="21"/>
          <w:u w:val="single"/>
          <w:lang w:eastAsia="zh-CN"/>
        </w:rPr>
        <w:t>衢海百川资产管理</w:t>
      </w:r>
      <w:r>
        <w:rPr>
          <w:rFonts w:hint="eastAsia" w:ascii="宋体" w:hAnsi="宋体"/>
          <w:szCs w:val="21"/>
          <w:u w:val="single"/>
        </w:rPr>
        <w:t>有限公司</w:t>
      </w:r>
      <w:r>
        <w:rPr>
          <w:rFonts w:hint="eastAsia"/>
          <w:color w:val="000000"/>
        </w:rPr>
        <w:t>（以下简称</w:t>
      </w:r>
      <w:r>
        <w:rPr>
          <w:rFonts w:hint="eastAsia"/>
          <w:bCs/>
          <w:color w:val="000000"/>
        </w:rPr>
        <w:t>“</w:t>
      </w:r>
      <w:r>
        <w:rPr>
          <w:rFonts w:hint="eastAsia"/>
          <w:b/>
          <w:bCs/>
          <w:color w:val="000000"/>
        </w:rPr>
        <w:t>标的企业</w:t>
      </w:r>
      <w:r>
        <w:rPr>
          <w:rFonts w:hint="eastAsia"/>
          <w:bCs/>
          <w:color w:val="000000"/>
        </w:rPr>
        <w:t>”</w:t>
      </w:r>
      <w:r>
        <w:rPr>
          <w:rFonts w:hint="eastAsia"/>
          <w:color w:val="000000"/>
        </w:rPr>
        <w:t>）</w:t>
      </w:r>
      <w:r>
        <w:rPr>
          <w:rFonts w:hint="eastAsia" w:ascii="仿宋_GB2312" w:eastAsia="仿宋_GB2312"/>
          <w:b/>
          <w:color w:val="000000"/>
          <w:u w:val="single"/>
        </w:rPr>
        <w:t xml:space="preserve"> </w:t>
      </w:r>
      <w:r>
        <w:rPr>
          <w:rFonts w:hint="eastAsia" w:ascii="宋体" w:hAnsi="宋体" w:eastAsia="仿宋_GB2312"/>
          <w:color w:val="000000"/>
          <w:u w:val="single"/>
          <w:lang w:val="en-US" w:eastAsia="zh-CN"/>
        </w:rPr>
        <w:t>4</w:t>
      </w:r>
      <w:r>
        <w:rPr>
          <w:rFonts w:hint="eastAsia" w:ascii="宋体" w:hAnsi="宋体"/>
          <w:color w:val="000000"/>
          <w:u w:val="single"/>
        </w:rPr>
        <w:t>0%股权</w:t>
      </w:r>
      <w:r>
        <w:rPr>
          <w:rFonts w:hint="eastAsia"/>
          <w:b/>
          <w:color w:val="000000"/>
          <w:u w:val="single"/>
        </w:rPr>
        <w:t xml:space="preserve">  </w:t>
      </w:r>
      <w:r>
        <w:rPr>
          <w:rFonts w:hint="eastAsia"/>
          <w:color w:val="000000"/>
        </w:rPr>
        <w:t>（以下简称“</w:t>
      </w:r>
      <w:r>
        <w:rPr>
          <w:rFonts w:hint="eastAsia"/>
          <w:b/>
          <w:color w:val="000000"/>
        </w:rPr>
        <w:t>转让标的</w:t>
      </w:r>
      <w:r>
        <w:rPr>
          <w:rFonts w:hint="eastAsia"/>
          <w:color w:val="000000"/>
        </w:rPr>
        <w:t>”）。</w:t>
      </w:r>
    </w:p>
    <w:p>
      <w:pPr>
        <w:spacing w:line="360" w:lineRule="auto"/>
        <w:ind w:firstLine="420" w:firstLineChars="200"/>
      </w:pPr>
      <w:r>
        <w:rPr>
          <w:rFonts w:hint="eastAsia"/>
        </w:rPr>
        <w:t>2.甲方就其持有的转让标的</w:t>
      </w:r>
      <w:r>
        <w:rPr>
          <w:rFonts w:hint="eastAsia"/>
          <w:lang w:eastAsia="zh-CN"/>
        </w:rPr>
        <w:t>所认</w:t>
      </w:r>
      <w:r>
        <w:rPr>
          <w:rFonts w:hint="eastAsia"/>
        </w:rPr>
        <w:t>缴的</w:t>
      </w:r>
      <w:r>
        <w:rPr>
          <w:rFonts w:hint="eastAsia"/>
          <w:lang w:eastAsia="zh-CN"/>
        </w:rPr>
        <w:t>注册资本金按章程约定分期出资，已</w:t>
      </w:r>
      <w:r>
        <w:rPr>
          <w:rFonts w:hint="eastAsia"/>
        </w:rPr>
        <w:t>于20</w:t>
      </w:r>
      <w:r>
        <w:rPr>
          <w:rFonts w:hint="eastAsia"/>
          <w:lang w:val="en-US" w:eastAsia="zh-CN"/>
        </w:rPr>
        <w:t>17</w:t>
      </w:r>
      <w:r>
        <w:rPr>
          <w:rFonts w:hint="eastAsia"/>
        </w:rPr>
        <w:t>年</w:t>
      </w:r>
      <w:r>
        <w:rPr>
          <w:rFonts w:hint="eastAsia"/>
          <w:lang w:val="en-US" w:eastAsia="zh-CN"/>
        </w:rPr>
        <w:t>3</w:t>
      </w:r>
      <w:r>
        <w:rPr>
          <w:rFonts w:hint="eastAsia"/>
        </w:rPr>
        <w:t>月</w:t>
      </w:r>
      <w:r>
        <w:rPr>
          <w:rFonts w:hint="eastAsia"/>
          <w:lang w:val="en-US" w:eastAsia="zh-CN"/>
        </w:rPr>
        <w:t>30</w:t>
      </w:r>
      <w:r>
        <w:rPr>
          <w:rFonts w:hint="eastAsia"/>
        </w:rPr>
        <w:t>日缴纳到位</w:t>
      </w:r>
      <w:r>
        <w:rPr>
          <w:rFonts w:hint="eastAsia"/>
          <w:lang w:eastAsia="zh-CN"/>
        </w:rPr>
        <w:t>肆拾万元人民币</w:t>
      </w:r>
      <w:r>
        <w:rPr>
          <w:rFonts w:hint="eastAsia"/>
        </w:rPr>
        <w:t>；</w:t>
      </w:r>
    </w:p>
    <w:p>
      <w:pPr>
        <w:spacing w:line="360" w:lineRule="auto"/>
        <w:ind w:firstLine="420" w:firstLineChars="200"/>
        <w:rPr>
          <w:color w:val="000000"/>
        </w:rPr>
      </w:pPr>
      <w:r>
        <w:rPr>
          <w:rFonts w:hint="eastAsia"/>
          <w:color w:val="000000"/>
        </w:rPr>
        <w:t>3.转让标的上未作过任何形式的担保，包括但不限于在该产权上设置质押、或任何影响产权转让或股东权利行使的限制或义务。转让标的也未被任何有权机构采取查封等强制性措施。</w:t>
      </w:r>
    </w:p>
    <w:p>
      <w:pPr>
        <w:spacing w:line="360" w:lineRule="auto"/>
        <w:ind w:firstLine="420" w:firstLineChars="200"/>
        <w:rPr>
          <w:color w:val="000000"/>
        </w:rPr>
      </w:pPr>
    </w:p>
    <w:p>
      <w:pPr>
        <w:numPr>
          <w:ilvl w:val="0"/>
          <w:numId w:val="20"/>
        </w:numPr>
        <w:spacing w:line="360" w:lineRule="auto"/>
        <w:rPr>
          <w:b/>
          <w:color w:val="000000"/>
        </w:rPr>
      </w:pPr>
      <w:r>
        <w:rPr>
          <w:rFonts w:hint="eastAsia"/>
          <w:b/>
          <w:color w:val="000000"/>
        </w:rPr>
        <w:t>标的企业</w:t>
      </w:r>
    </w:p>
    <w:p>
      <w:pPr>
        <w:spacing w:line="360" w:lineRule="auto"/>
        <w:ind w:firstLine="420" w:firstLineChars="200"/>
        <w:rPr>
          <w:color w:val="000000"/>
          <w:u w:val="single"/>
        </w:rPr>
      </w:pPr>
      <w:r>
        <w:rPr>
          <w:rFonts w:hint="eastAsia"/>
          <w:color w:val="000000"/>
        </w:rPr>
        <w:t>1.标的企业系依法设立的</w:t>
      </w:r>
      <w:r>
        <w:rPr>
          <w:rFonts w:hint="eastAsia"/>
          <w:color w:val="000000"/>
          <w:u w:val="single"/>
        </w:rPr>
        <w:t xml:space="preserve">  </w:t>
      </w:r>
      <w:r>
        <w:rPr>
          <w:rFonts w:hint="eastAsia"/>
          <w:color w:val="000000"/>
          <w:u w:val="single"/>
          <w:lang w:eastAsia="zh-CN"/>
        </w:rPr>
        <w:t>其他</w:t>
      </w:r>
      <w:r>
        <w:rPr>
          <w:rFonts w:hint="eastAsia"/>
          <w:color w:val="000000"/>
          <w:u w:val="single"/>
        </w:rPr>
        <w:t xml:space="preserve">有限责任公司 </w:t>
      </w:r>
      <w:r>
        <w:rPr>
          <w:rFonts w:hint="eastAsia"/>
          <w:color w:val="000000"/>
        </w:rPr>
        <w:t>（有限责任公司/股份有限公司/国有</w:t>
      </w:r>
    </w:p>
    <w:p>
      <w:pPr>
        <w:spacing w:line="360" w:lineRule="auto"/>
        <w:rPr>
          <w:color w:val="000000"/>
          <w:u w:val="single"/>
        </w:rPr>
      </w:pPr>
      <w:r>
        <w:rPr>
          <w:rFonts w:hint="eastAsia"/>
          <w:color w:val="000000"/>
        </w:rPr>
        <w:t>独资公司/事业法人/其他组织形式），注册资本</w:t>
      </w:r>
      <w:r>
        <w:rPr>
          <w:rFonts w:hint="eastAsia"/>
          <w:color w:val="000000"/>
          <w:u w:val="single"/>
          <w:lang w:eastAsia="zh-CN"/>
        </w:rPr>
        <w:t>壹仟</w:t>
      </w:r>
      <w:r>
        <w:rPr>
          <w:rFonts w:hint="eastAsia"/>
          <w:color w:val="000000"/>
          <w:u w:val="single"/>
        </w:rPr>
        <w:t xml:space="preserve"> </w:t>
      </w:r>
      <w:r>
        <w:rPr>
          <w:rFonts w:hint="eastAsia"/>
          <w:color w:val="000000"/>
        </w:rPr>
        <w:t>万元，实收资本</w:t>
      </w:r>
      <w:r>
        <w:rPr>
          <w:rFonts w:hint="eastAsia"/>
          <w:color w:val="000000"/>
          <w:u w:val="single"/>
        </w:rPr>
        <w:t xml:space="preserve"> </w:t>
      </w:r>
      <w:r>
        <w:rPr>
          <w:rFonts w:hint="eastAsia"/>
          <w:color w:val="000000"/>
          <w:u w:val="single"/>
          <w:lang w:eastAsia="zh-CN"/>
        </w:rPr>
        <w:t>壹</w:t>
      </w:r>
      <w:r>
        <w:rPr>
          <w:rFonts w:hint="eastAsia"/>
          <w:color w:val="000000"/>
          <w:u w:val="single"/>
        </w:rPr>
        <w:t>佰</w:t>
      </w:r>
      <w:r>
        <w:rPr>
          <w:rFonts w:hint="eastAsia"/>
          <w:color w:val="000000"/>
        </w:rPr>
        <w:t>万元，住所</w:t>
      </w:r>
      <w:r>
        <w:rPr>
          <w:rFonts w:hint="eastAsia"/>
          <w:color w:val="000000"/>
          <w:u w:val="single"/>
        </w:rPr>
        <w:t xml:space="preserve"> 衢州市柯城区</w:t>
      </w:r>
      <w:r>
        <w:rPr>
          <w:rFonts w:hint="eastAsia"/>
          <w:color w:val="000000"/>
          <w:u w:val="single"/>
          <w:lang w:eastAsia="zh-CN"/>
        </w:rPr>
        <w:t>花园东大道</w:t>
      </w:r>
      <w:r>
        <w:rPr>
          <w:rFonts w:hint="eastAsia"/>
          <w:color w:val="000000"/>
          <w:u w:val="single"/>
          <w:lang w:val="en-US" w:eastAsia="zh-CN"/>
        </w:rPr>
        <w:t>258号3幢201</w:t>
      </w:r>
      <w:r>
        <w:rPr>
          <w:rFonts w:hint="eastAsia"/>
          <w:color w:val="000000"/>
          <w:u w:val="single"/>
        </w:rPr>
        <w:t xml:space="preserve">室 </w:t>
      </w:r>
      <w:r>
        <w:rPr>
          <w:rFonts w:hint="eastAsia"/>
          <w:color w:val="000000"/>
        </w:rPr>
        <w:t>。</w:t>
      </w:r>
    </w:p>
    <w:p>
      <w:pPr>
        <w:spacing w:line="360" w:lineRule="auto"/>
        <w:ind w:firstLine="420" w:firstLineChars="200"/>
        <w:rPr>
          <w:color w:val="000000"/>
          <w:u w:val="single"/>
        </w:rPr>
      </w:pPr>
      <w:r>
        <w:rPr>
          <w:rFonts w:hint="eastAsia"/>
          <w:color w:val="000000"/>
        </w:rPr>
        <w:t>2.标的企业的全部资产、负债已经拥有评估资质的</w:t>
      </w:r>
      <w:r>
        <w:rPr>
          <w:rFonts w:hint="eastAsia"/>
          <w:color w:val="000000"/>
          <w:u w:val="single"/>
        </w:rPr>
        <w:t xml:space="preserve">  衢州中瑞华 </w:t>
      </w:r>
      <w:r>
        <w:rPr>
          <w:rFonts w:hint="eastAsia"/>
          <w:color w:val="000000"/>
        </w:rPr>
        <w:t>资产评估有限公司评估，出具了以</w:t>
      </w:r>
      <w:r>
        <w:rPr>
          <w:rFonts w:hint="eastAsia"/>
          <w:color w:val="000000"/>
          <w:u w:val="single"/>
        </w:rPr>
        <w:t xml:space="preserve">  2018  </w:t>
      </w:r>
      <w:r>
        <w:rPr>
          <w:rFonts w:hint="eastAsia"/>
          <w:color w:val="000000"/>
        </w:rPr>
        <w:t>年</w:t>
      </w:r>
      <w:r>
        <w:rPr>
          <w:rFonts w:hint="eastAsia"/>
          <w:color w:val="000000"/>
          <w:u w:val="single"/>
        </w:rPr>
        <w:t xml:space="preserve"> 12 </w:t>
      </w:r>
      <w:r>
        <w:rPr>
          <w:rFonts w:hint="eastAsia"/>
          <w:color w:val="000000"/>
        </w:rPr>
        <w:t>月</w:t>
      </w:r>
      <w:r>
        <w:rPr>
          <w:rFonts w:hint="eastAsia"/>
          <w:color w:val="000000"/>
          <w:u w:val="single"/>
        </w:rPr>
        <w:t xml:space="preserve"> 31 </w:t>
      </w:r>
      <w:r>
        <w:rPr>
          <w:rFonts w:hint="eastAsia"/>
          <w:color w:val="000000"/>
        </w:rPr>
        <w:t>日为评估基准日的</w:t>
      </w:r>
      <w:r>
        <w:rPr>
          <w:rFonts w:hint="eastAsia"/>
          <w:color w:val="000000"/>
          <w:u w:val="single"/>
        </w:rPr>
        <w:t xml:space="preserve"> 衢瑞评字【2019】第</w:t>
      </w:r>
      <w:r>
        <w:rPr>
          <w:rFonts w:hint="eastAsia"/>
          <w:color w:val="000000"/>
          <w:u w:val="single"/>
          <w:lang w:val="en-US" w:eastAsia="zh-CN"/>
        </w:rPr>
        <w:t>58</w:t>
      </w:r>
      <w:r>
        <w:rPr>
          <w:rFonts w:hint="eastAsia"/>
          <w:color w:val="000000"/>
        </w:rPr>
        <w:t>号《资产评估报告书》。</w:t>
      </w:r>
    </w:p>
    <w:p>
      <w:pPr>
        <w:spacing w:line="360" w:lineRule="auto"/>
        <w:ind w:firstLine="420" w:firstLineChars="200"/>
        <w:rPr>
          <w:color w:val="000000"/>
          <w:u w:val="single"/>
        </w:rPr>
      </w:pPr>
      <w:r>
        <w:rPr>
          <w:rFonts w:hint="eastAsia"/>
          <w:color w:val="000000"/>
        </w:rPr>
        <w:t>3.标的企业不存在上述《资产评估报告书》中未予披露或遗漏的、可能影响评估结果，或对标的企业及其产权价值产生重大不利影响的任何事项。</w:t>
      </w:r>
    </w:p>
    <w:p>
      <w:pPr>
        <w:spacing w:line="360" w:lineRule="auto"/>
        <w:ind w:firstLine="420" w:firstLineChars="200"/>
        <w:rPr>
          <w:color w:val="000000"/>
          <w:u w:val="single"/>
        </w:rPr>
      </w:pPr>
      <w:r>
        <w:rPr>
          <w:rFonts w:hint="eastAsia"/>
          <w:color w:val="000000"/>
        </w:rPr>
        <w:t>4.甲乙双方在标的企业《资产评估报告书》评估结果的基础上达成本合同各项条款。</w:t>
      </w:r>
    </w:p>
    <w:p>
      <w:pPr>
        <w:spacing w:line="360" w:lineRule="auto"/>
        <w:ind w:left="454"/>
        <w:rPr>
          <w:color w:val="000000"/>
          <w:u w:val="single"/>
        </w:rPr>
      </w:pPr>
    </w:p>
    <w:p>
      <w:pPr>
        <w:numPr>
          <w:ilvl w:val="0"/>
          <w:numId w:val="20"/>
        </w:numPr>
        <w:spacing w:line="360" w:lineRule="auto"/>
        <w:rPr>
          <w:b/>
          <w:bCs/>
          <w:color w:val="000000"/>
        </w:rPr>
      </w:pPr>
      <w:r>
        <w:rPr>
          <w:rFonts w:hint="eastAsia"/>
          <w:b/>
          <w:bCs/>
          <w:color w:val="000000"/>
        </w:rPr>
        <w:t>转让方式</w:t>
      </w:r>
      <w:r>
        <w:rPr>
          <w:rFonts w:hint="eastAsia"/>
          <w:color w:val="000000"/>
        </w:rPr>
        <w:t>（下列根据实际情况确定）</w:t>
      </w:r>
    </w:p>
    <w:p>
      <w:pPr>
        <w:spacing w:line="360" w:lineRule="auto"/>
        <w:ind w:firstLine="420"/>
        <w:rPr>
          <w:rFonts w:ascii="宋体" w:hAnsi="宋体"/>
          <w:bCs/>
          <w:color w:val="000000"/>
          <w:szCs w:val="21"/>
        </w:rPr>
      </w:pPr>
      <w:r>
        <w:rPr>
          <w:rFonts w:hint="eastAsia" w:ascii="宋体" w:hAnsi="宋体"/>
          <w:bCs/>
          <w:color w:val="000000"/>
          <w:szCs w:val="21"/>
        </w:rPr>
        <w:t>本合同项下产权交易已于</w:t>
      </w:r>
      <w:r>
        <w:rPr>
          <w:rFonts w:hint="eastAsia" w:ascii="宋体" w:hAnsi="宋体"/>
          <w:color w:val="000000"/>
          <w:szCs w:val="21"/>
          <w:u w:val="single"/>
        </w:rPr>
        <w:t xml:space="preserve">  2019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szCs w:val="21"/>
          <w:u w:val="single"/>
        </w:rPr>
        <w:t xml:space="preserve"> </w:t>
      </w:r>
      <w:r>
        <w:rPr>
          <w:rFonts w:hint="eastAsia" w:ascii="宋体" w:hAnsi="宋体"/>
          <w:szCs w:val="21"/>
          <w:u w:val="single"/>
          <w:lang w:val="en-US" w:eastAsia="zh-CN"/>
        </w:rPr>
        <w:t>4</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1</w:t>
      </w:r>
      <w:r>
        <w:rPr>
          <w:rFonts w:hint="eastAsia" w:ascii="宋体" w:hAnsi="宋体"/>
          <w:szCs w:val="21"/>
          <w:u w:val="single"/>
          <w:lang w:val="en-US" w:eastAsia="zh-CN"/>
        </w:rPr>
        <w:t>5</w:t>
      </w:r>
      <w:r>
        <w:rPr>
          <w:rFonts w:hint="eastAsia" w:ascii="宋体" w:hAnsi="宋体"/>
          <w:szCs w:val="21"/>
        </w:rPr>
        <w:t>日</w:t>
      </w:r>
      <w:r>
        <w:rPr>
          <w:rFonts w:hint="eastAsia" w:ascii="宋体" w:hAnsi="宋体"/>
          <w:bCs/>
          <w:color w:val="000000"/>
          <w:szCs w:val="21"/>
        </w:rPr>
        <w:t>经产权交易中心公开挂牌，挂牌期间只产生乙方一个意向受让方，由乙方依法受让本合同项下转让标的。</w:t>
      </w:r>
    </w:p>
    <w:p>
      <w:pPr>
        <w:spacing w:line="360" w:lineRule="auto"/>
        <w:ind w:firstLine="420"/>
        <w:rPr>
          <w:rFonts w:ascii="宋体" w:hAnsi="宋体"/>
          <w:bCs/>
          <w:color w:val="FF0000"/>
          <w:szCs w:val="21"/>
        </w:rPr>
      </w:pPr>
      <w:r>
        <w:rPr>
          <w:rFonts w:hint="eastAsia" w:ascii="宋体" w:hAnsi="宋体"/>
          <w:bCs/>
          <w:color w:val="FF0000"/>
          <w:szCs w:val="21"/>
        </w:rPr>
        <w:t>或：本合同项下产权交易已于</w:t>
      </w:r>
      <w:r>
        <w:rPr>
          <w:rFonts w:hint="eastAsia" w:ascii="宋体" w:hAnsi="宋体"/>
          <w:color w:val="FF0000"/>
          <w:szCs w:val="21"/>
          <w:u w:val="single"/>
        </w:rPr>
        <w:t xml:space="preserve">    </w:t>
      </w:r>
      <w:r>
        <w:rPr>
          <w:rFonts w:hint="eastAsia" w:ascii="宋体" w:hAnsi="宋体"/>
          <w:color w:val="FF0000"/>
          <w:szCs w:val="21"/>
        </w:rPr>
        <w:t>年</w:t>
      </w:r>
      <w:r>
        <w:rPr>
          <w:rFonts w:hint="eastAsia" w:ascii="宋体" w:hAnsi="宋体"/>
          <w:color w:val="FF0000"/>
          <w:szCs w:val="21"/>
          <w:u w:val="single"/>
        </w:rPr>
        <w:t xml:space="preserve">    </w:t>
      </w:r>
      <w:r>
        <w:rPr>
          <w:rFonts w:hint="eastAsia" w:ascii="宋体" w:hAnsi="宋体"/>
          <w:color w:val="FF0000"/>
          <w:szCs w:val="21"/>
        </w:rPr>
        <w:t>月</w:t>
      </w:r>
      <w:r>
        <w:rPr>
          <w:rFonts w:hint="eastAsia" w:ascii="宋体" w:hAnsi="宋体"/>
          <w:color w:val="FF0000"/>
          <w:szCs w:val="21"/>
          <w:u w:val="single"/>
        </w:rPr>
        <w:t xml:space="preserve">   </w:t>
      </w:r>
      <w:r>
        <w:rPr>
          <w:rFonts w:hint="eastAsia" w:ascii="宋体" w:hAnsi="宋体"/>
          <w:color w:val="FF0000"/>
          <w:szCs w:val="21"/>
        </w:rPr>
        <w:t>日</w:t>
      </w:r>
      <w:r>
        <w:rPr>
          <w:rFonts w:hint="eastAsia" w:ascii="宋体" w:hAnsi="宋体"/>
          <w:bCs/>
          <w:color w:val="FF0000"/>
          <w:szCs w:val="21"/>
        </w:rPr>
        <w:t>经产权交易中心公开挂牌，挂牌期间产生</w:t>
      </w:r>
      <w:r>
        <w:rPr>
          <w:rFonts w:hint="eastAsia" w:ascii="宋体" w:hAnsi="宋体"/>
          <w:bCs/>
          <w:color w:val="FF0000"/>
          <w:szCs w:val="21"/>
          <w:u w:val="single"/>
        </w:rPr>
        <w:t xml:space="preserve">   </w:t>
      </w:r>
      <w:r>
        <w:rPr>
          <w:rFonts w:hint="eastAsia" w:ascii="宋体" w:hAnsi="宋体"/>
          <w:bCs/>
          <w:color w:val="FF0000"/>
          <w:szCs w:val="21"/>
        </w:rPr>
        <w:t>个意向受让方，并于</w:t>
      </w:r>
      <w:r>
        <w:rPr>
          <w:rFonts w:hint="eastAsia" w:ascii="宋体" w:hAnsi="宋体"/>
          <w:color w:val="FF0000"/>
          <w:szCs w:val="21"/>
          <w:u w:val="single"/>
        </w:rPr>
        <w:t xml:space="preserve">    </w:t>
      </w:r>
      <w:r>
        <w:rPr>
          <w:rFonts w:hint="eastAsia" w:ascii="宋体" w:hAnsi="宋体"/>
          <w:color w:val="FF0000"/>
          <w:szCs w:val="21"/>
        </w:rPr>
        <w:t>年</w:t>
      </w:r>
      <w:r>
        <w:rPr>
          <w:rFonts w:hint="eastAsia" w:ascii="宋体" w:hAnsi="宋体"/>
          <w:color w:val="FF0000"/>
          <w:szCs w:val="21"/>
          <w:u w:val="single"/>
        </w:rPr>
        <w:t xml:space="preserve">    </w:t>
      </w:r>
      <w:r>
        <w:rPr>
          <w:rFonts w:hint="eastAsia" w:ascii="宋体" w:hAnsi="宋体"/>
          <w:color w:val="FF0000"/>
          <w:szCs w:val="21"/>
        </w:rPr>
        <w:t>月</w:t>
      </w:r>
      <w:r>
        <w:rPr>
          <w:rFonts w:hint="eastAsia" w:ascii="宋体" w:hAnsi="宋体"/>
          <w:color w:val="FF0000"/>
          <w:szCs w:val="21"/>
          <w:u w:val="single"/>
        </w:rPr>
        <w:t xml:space="preserve">   </w:t>
      </w:r>
      <w:r>
        <w:rPr>
          <w:rFonts w:hint="eastAsia" w:ascii="宋体" w:hAnsi="宋体"/>
          <w:color w:val="FF0000"/>
          <w:szCs w:val="21"/>
        </w:rPr>
        <w:t>日</w:t>
      </w:r>
      <w:r>
        <w:rPr>
          <w:rFonts w:hint="eastAsia" w:ascii="宋体" w:hAnsi="宋体"/>
          <w:bCs/>
          <w:color w:val="FF0000"/>
          <w:szCs w:val="21"/>
        </w:rPr>
        <w:t>以竞价方式（或拍卖、招投标等其他竞价方式）组织实施，由乙方依法作为受让方受让本合同项下转让标的。</w:t>
      </w:r>
    </w:p>
    <w:p>
      <w:pPr>
        <w:spacing w:line="360" w:lineRule="auto"/>
        <w:ind w:firstLine="420" w:firstLineChars="200"/>
        <w:rPr>
          <w:b/>
          <w:bCs/>
          <w:color w:val="000000"/>
          <w:szCs w:val="21"/>
        </w:rPr>
      </w:pPr>
    </w:p>
    <w:p>
      <w:pPr>
        <w:numPr>
          <w:ilvl w:val="0"/>
          <w:numId w:val="20"/>
        </w:numPr>
        <w:spacing w:line="360" w:lineRule="auto"/>
        <w:rPr>
          <w:b/>
          <w:bCs/>
          <w:color w:val="000000"/>
        </w:rPr>
      </w:pPr>
      <w:r>
        <w:rPr>
          <w:rFonts w:hint="eastAsia"/>
          <w:b/>
          <w:bCs/>
          <w:color w:val="000000"/>
        </w:rPr>
        <w:t>转让价格、价款支付时间和方式及付款条件</w:t>
      </w:r>
    </w:p>
    <w:p>
      <w:pPr>
        <w:spacing w:line="360" w:lineRule="auto"/>
        <w:ind w:firstLine="420" w:firstLineChars="200"/>
        <w:rPr>
          <w:color w:val="000000"/>
        </w:rPr>
      </w:pPr>
      <w:r>
        <w:rPr>
          <w:rFonts w:hint="eastAsia"/>
          <w:color w:val="000000"/>
        </w:rPr>
        <w:t>1.转让价格：根据公开挂牌结果（</w:t>
      </w:r>
      <w:r>
        <w:rPr>
          <w:rFonts w:hint="eastAsia"/>
          <w:color w:val="FF0000"/>
        </w:rPr>
        <w:t>或公开竞价结果</w:t>
      </w:r>
      <w:r>
        <w:rPr>
          <w:rFonts w:hint="eastAsia"/>
          <w:color w:val="000000"/>
        </w:rPr>
        <w:t>），甲方将本合同项下转让标</w:t>
      </w:r>
    </w:p>
    <w:p>
      <w:pPr>
        <w:spacing w:line="360" w:lineRule="auto"/>
        <w:rPr>
          <w:color w:val="000000"/>
        </w:rPr>
      </w:pPr>
      <w:r>
        <w:rPr>
          <w:rFonts w:hint="eastAsia"/>
          <w:color w:val="000000"/>
        </w:rPr>
        <w:t>的以人民币（大写）</w:t>
      </w:r>
      <w:r>
        <w:rPr>
          <w:rFonts w:hint="eastAsia"/>
          <w:color w:val="000000"/>
          <w:u w:val="single"/>
        </w:rPr>
        <w:t xml:space="preserve">                             </w:t>
      </w:r>
      <w:r>
        <w:rPr>
          <w:rFonts w:hint="eastAsia"/>
          <w:color w:val="000000"/>
        </w:rPr>
        <w:t>，即：人民币（小写）</w:t>
      </w:r>
      <w:r>
        <w:rPr>
          <w:rFonts w:hint="eastAsia"/>
          <w:color w:val="000000"/>
          <w:u w:val="single"/>
        </w:rPr>
        <w:t xml:space="preserve">      </w:t>
      </w:r>
      <w:r>
        <w:rPr>
          <w:rFonts w:hint="eastAsia"/>
          <w:color w:val="000000"/>
        </w:rPr>
        <w:t>万元（以下简称“转让价款”）转让给乙方。本合同签订后，乙方按照甲方和</w:t>
      </w:r>
      <w:r>
        <w:rPr>
          <w:rFonts w:hint="eastAsia" w:ascii="宋体" w:hAnsi="宋体"/>
          <w:bCs/>
          <w:color w:val="000000"/>
          <w:szCs w:val="21"/>
        </w:rPr>
        <w:t>产权交易中心</w:t>
      </w:r>
      <w:r>
        <w:rPr>
          <w:rFonts w:hint="eastAsia"/>
          <w:color w:val="000000"/>
        </w:rPr>
        <w:t>的要求支付的</w:t>
      </w:r>
      <w:r>
        <w:rPr>
          <w:rFonts w:hint="eastAsia" w:ascii="宋体" w:hAnsi="宋体"/>
          <w:color w:val="000000"/>
          <w:szCs w:val="21"/>
        </w:rPr>
        <w:t>竞买保证金（现保管于</w:t>
      </w:r>
      <w:r>
        <w:rPr>
          <w:rFonts w:hint="eastAsia" w:ascii="宋体" w:hAnsi="宋体"/>
          <w:bCs/>
          <w:color w:val="000000"/>
          <w:szCs w:val="21"/>
        </w:rPr>
        <w:t>产权交易中心</w:t>
      </w:r>
      <w:r>
        <w:rPr>
          <w:rFonts w:hint="eastAsia" w:ascii="宋体" w:hAnsi="宋体"/>
          <w:color w:val="000000"/>
          <w:szCs w:val="21"/>
        </w:rPr>
        <w:t>），</w:t>
      </w:r>
      <w:r>
        <w:rPr>
          <w:rFonts w:hint="eastAsia" w:ascii="宋体" w:hAnsi="宋体"/>
          <w:szCs w:val="21"/>
        </w:rPr>
        <w:t>可</w:t>
      </w:r>
      <w:r>
        <w:rPr>
          <w:rFonts w:hint="eastAsia"/>
        </w:rPr>
        <w:t>冲抵转让价款及其他应支付给甲方款项的一部分</w:t>
      </w:r>
      <w:r>
        <w:rPr>
          <w:rFonts w:hint="eastAsia"/>
          <w:color w:val="000000"/>
        </w:rPr>
        <w:t>。</w:t>
      </w:r>
    </w:p>
    <w:p>
      <w:pPr>
        <w:spacing w:line="360" w:lineRule="auto"/>
        <w:ind w:firstLine="420" w:firstLineChars="200"/>
        <w:rPr>
          <w:color w:val="000000"/>
        </w:rPr>
      </w:pPr>
      <w:r>
        <w:rPr>
          <w:rFonts w:hint="eastAsia"/>
          <w:color w:val="000000"/>
        </w:rPr>
        <w:t>2.转让价款支付方式为：</w:t>
      </w:r>
      <w:r>
        <w:rPr>
          <w:rFonts w:hint="eastAsia"/>
          <w:color w:val="000000"/>
          <w:u w:val="single"/>
        </w:rPr>
        <w:t xml:space="preserve"> </w:t>
      </w:r>
      <w:r>
        <w:rPr>
          <w:rFonts w:hint="eastAsia"/>
          <w:b/>
          <w:color w:val="000000"/>
          <w:sz w:val="28"/>
          <w:szCs w:val="28"/>
          <w:u w:val="single"/>
        </w:rPr>
        <w:t xml:space="preserve"> </w:t>
      </w:r>
      <w:r>
        <w:rPr>
          <w:rFonts w:hint="eastAsia"/>
          <w:color w:val="000000"/>
          <w:u w:val="single"/>
        </w:rPr>
        <w:t xml:space="preserve">  （1）    </w:t>
      </w:r>
      <w:r>
        <w:rPr>
          <w:rFonts w:hint="eastAsia"/>
          <w:color w:val="000000"/>
        </w:rPr>
        <w:t>（下列根据实际情况选择确定）</w:t>
      </w:r>
    </w:p>
    <w:p>
      <w:pPr>
        <w:spacing w:line="360" w:lineRule="auto"/>
        <w:ind w:firstLine="420" w:firstLineChars="200"/>
        <w:jc w:val="left"/>
        <w:rPr>
          <w:color w:val="000000"/>
        </w:rPr>
      </w:pPr>
      <w:r>
        <w:rPr>
          <w:rFonts w:hint="eastAsia"/>
          <w:color w:val="000000"/>
        </w:rPr>
        <w:t>（1）乙方采用一次性付款方式，将在本合同订立之日起</w:t>
      </w:r>
      <w:r>
        <w:rPr>
          <w:rFonts w:hint="eastAsia"/>
          <w:color w:val="000000"/>
          <w:lang w:eastAsia="zh-CN"/>
        </w:rPr>
        <w:t>五</w:t>
      </w:r>
      <w:r>
        <w:rPr>
          <w:rFonts w:hint="eastAsia"/>
          <w:color w:val="000000"/>
        </w:rPr>
        <w:t>个工作日内汇入产权交易中心指定账户（户名：</w:t>
      </w:r>
      <w:r>
        <w:rPr>
          <w:rFonts w:hint="eastAsia"/>
          <w:color w:val="000000"/>
          <w:u w:val="single"/>
        </w:rPr>
        <w:t xml:space="preserve">衢州市产权交易中心有限公司 </w:t>
      </w:r>
      <w:r>
        <w:rPr>
          <w:rFonts w:hint="eastAsia"/>
          <w:color w:val="000000"/>
        </w:rPr>
        <w:t>，账号：</w:t>
      </w:r>
      <w:r>
        <w:rPr>
          <w:rFonts w:hint="eastAsia"/>
          <w:color w:val="000000"/>
          <w:u w:val="single"/>
        </w:rPr>
        <w:t xml:space="preserve">  1209210009049028267 </w:t>
      </w:r>
      <w:r>
        <w:rPr>
          <w:rFonts w:hint="eastAsia"/>
          <w:color w:val="000000"/>
        </w:rPr>
        <w:t>，开户行：</w:t>
      </w:r>
      <w:r>
        <w:rPr>
          <w:rFonts w:hint="eastAsia"/>
          <w:color w:val="000000"/>
          <w:u w:val="single"/>
        </w:rPr>
        <w:t xml:space="preserve"> 衢州市工行营业部</w:t>
      </w:r>
      <w:r>
        <w:rPr>
          <w:rFonts w:hint="eastAsia"/>
          <w:color w:val="000000"/>
        </w:rPr>
        <w:t>）；</w:t>
      </w:r>
    </w:p>
    <w:p>
      <w:pPr>
        <w:spacing w:line="360" w:lineRule="auto"/>
        <w:ind w:firstLine="420" w:firstLineChars="200"/>
        <w:rPr>
          <w:rFonts w:ascii="宋体" w:hAnsi="宋体"/>
          <w:color w:val="000000"/>
        </w:rPr>
      </w:pPr>
      <w:r>
        <w:rPr>
          <w:rFonts w:hint="eastAsia"/>
          <w:color w:val="000000"/>
        </w:rPr>
        <w:t>（2）乙方采用分期付款方式：首期将转让价款中的</w:t>
      </w:r>
      <w:r>
        <w:rPr>
          <w:rFonts w:hint="eastAsia"/>
          <w:color w:val="000000"/>
          <w:u w:val="single"/>
        </w:rPr>
        <w:t xml:space="preserve">  </w:t>
      </w:r>
      <w:r>
        <w:rPr>
          <w:rFonts w:hint="eastAsia"/>
          <w:color w:val="000000"/>
        </w:rPr>
        <w:t>%（以下简称“首期价款”,注:不得低于总价款的30%），即人民币（小写）</w:t>
      </w:r>
      <w:r>
        <w:rPr>
          <w:rFonts w:hint="eastAsia"/>
          <w:color w:val="000000"/>
          <w:u w:val="single"/>
        </w:rPr>
        <w:t xml:space="preserve">         </w:t>
      </w:r>
      <w:r>
        <w:rPr>
          <w:rFonts w:hint="eastAsia"/>
          <w:color w:val="000000"/>
        </w:rPr>
        <w:t>元在本合同订立之日起五个工作日内汇入产权交易中心指定账户（户名：</w:t>
      </w:r>
      <w:r>
        <w:rPr>
          <w:rFonts w:hint="eastAsia"/>
          <w:color w:val="000000"/>
          <w:u w:val="single"/>
        </w:rPr>
        <w:t xml:space="preserve">      </w:t>
      </w:r>
      <w:r>
        <w:rPr>
          <w:rFonts w:hint="eastAsia"/>
          <w:color w:val="000000"/>
        </w:rPr>
        <w:t>账号：</w:t>
      </w:r>
      <w:r>
        <w:rPr>
          <w:rFonts w:hint="eastAsia"/>
          <w:color w:val="000000"/>
          <w:u w:val="single"/>
        </w:rPr>
        <w:t xml:space="preserve">     </w:t>
      </w:r>
      <w:r>
        <w:rPr>
          <w:rFonts w:hint="eastAsia"/>
          <w:color w:val="000000"/>
        </w:rPr>
        <w:t>开户行：</w:t>
      </w:r>
      <w:r>
        <w:rPr>
          <w:rFonts w:hint="eastAsia"/>
          <w:color w:val="000000"/>
          <w:u w:val="single"/>
        </w:rPr>
        <w:t xml:space="preserve">            </w:t>
      </w:r>
      <w:r>
        <w:rPr>
          <w:rFonts w:hint="eastAsia"/>
          <w:color w:val="000000"/>
        </w:rPr>
        <w:t>）；剩余价款人民币（小写）</w:t>
      </w:r>
      <w:r>
        <w:rPr>
          <w:rFonts w:hint="eastAsia"/>
          <w:color w:val="000000"/>
          <w:u w:val="single"/>
        </w:rPr>
        <w:t xml:space="preserve">    </w:t>
      </w:r>
      <w:r>
        <w:rPr>
          <w:rFonts w:hint="eastAsia"/>
          <w:color w:val="000000"/>
        </w:rPr>
        <w:t>元（以下简称“</w:t>
      </w:r>
      <w:r>
        <w:rPr>
          <w:rFonts w:hint="eastAsia"/>
          <w:b/>
          <w:bCs/>
          <w:color w:val="000000"/>
        </w:rPr>
        <w:t>剩余价款</w:t>
      </w:r>
      <w:r>
        <w:rPr>
          <w:rFonts w:hint="eastAsia"/>
          <w:color w:val="000000"/>
        </w:rPr>
        <w:t>”）应按同期银行贷款利率计算延期付款期间的利息且在本合同签后</w:t>
      </w:r>
      <w:r>
        <w:rPr>
          <w:rFonts w:hint="eastAsia"/>
          <w:color w:val="000000"/>
          <w:u w:val="single"/>
        </w:rPr>
        <w:t xml:space="preserve">     </w:t>
      </w:r>
      <w:r>
        <w:rPr>
          <w:rFonts w:hint="eastAsia"/>
          <w:color w:val="000000"/>
        </w:rPr>
        <w:t>个工作日内（付款期限不得超过1 年）由乙方将剩余价款及利息汇入产权交易中心前述指定账户。对于剩余价款乙方应以</w:t>
      </w:r>
      <w:r>
        <w:rPr>
          <w:rFonts w:hint="eastAsia"/>
          <w:color w:val="000000"/>
          <w:u w:val="single"/>
        </w:rPr>
        <w:t xml:space="preserve">     </w:t>
      </w:r>
      <w:r>
        <w:rPr>
          <w:rFonts w:hint="eastAsia"/>
          <w:color w:val="000000"/>
        </w:rPr>
        <w:t>的方式提供合法担</w:t>
      </w:r>
      <w:r>
        <w:rPr>
          <w:rFonts w:hint="eastAsia" w:ascii="宋体" w:hAnsi="宋体"/>
          <w:color w:val="000000"/>
        </w:rPr>
        <w:t>保。</w:t>
      </w:r>
    </w:p>
    <w:p>
      <w:pPr>
        <w:spacing w:line="360" w:lineRule="auto"/>
        <w:ind w:firstLine="420" w:firstLineChars="200"/>
        <w:rPr>
          <w:color w:val="000000"/>
        </w:rPr>
      </w:pPr>
      <w:r>
        <w:rPr>
          <w:rFonts w:hint="eastAsia"/>
          <w:color w:val="000000"/>
        </w:rPr>
        <w:t>乙方向产权交易中心的交易资金结算账户支付交易价款的行为，视为乙方履行本合同约定的转让价款的付款义务。</w:t>
      </w:r>
    </w:p>
    <w:p>
      <w:pPr>
        <w:spacing w:line="360" w:lineRule="auto"/>
        <w:ind w:firstLine="420" w:firstLineChars="200"/>
        <w:rPr>
          <w:color w:val="000000"/>
          <w:u w:val="single"/>
        </w:rPr>
      </w:pPr>
      <w:r>
        <w:rPr>
          <w:rFonts w:hint="eastAsia" w:ascii="宋体" w:hAnsi="宋体"/>
          <w:color w:val="000000"/>
        </w:rPr>
        <w:t>3.转让价款的清算及划转方式为：</w:t>
      </w:r>
    </w:p>
    <w:p>
      <w:pPr>
        <w:spacing w:line="360" w:lineRule="auto"/>
        <w:ind w:firstLine="420" w:firstLineChars="200"/>
        <w:rPr>
          <w:rFonts w:ascii="宋体" w:hAnsi="宋体"/>
          <w:color w:val="FF0000"/>
        </w:rPr>
      </w:pPr>
      <w:r>
        <w:rPr>
          <w:rFonts w:hint="eastAsia" w:ascii="宋体" w:hAnsi="宋体"/>
          <w:color w:val="FF0000"/>
        </w:rPr>
        <w:t>衢州市</w:t>
      </w:r>
      <w:r>
        <w:rPr>
          <w:rFonts w:hint="eastAsia"/>
          <w:color w:val="FF0000"/>
        </w:rPr>
        <w:t>产权交易中心有限公司在收到乙方汇入的转让价款和全部服务费之日起5个工作日内，</w:t>
      </w:r>
      <w:r>
        <w:rPr>
          <w:rFonts w:hint="eastAsia" w:ascii="宋体" w:hAnsi="宋体"/>
          <w:color w:val="FF0000"/>
        </w:rPr>
        <w:t>将转让价款中的</w:t>
      </w:r>
      <w:r>
        <w:rPr>
          <w:rFonts w:hint="eastAsia" w:ascii="宋体" w:hAnsi="宋体"/>
          <w:color w:val="FF0000"/>
          <w:u w:val="single"/>
        </w:rPr>
        <w:t>80%</w:t>
      </w:r>
      <w:r>
        <w:rPr>
          <w:rFonts w:hint="eastAsia" w:ascii="宋体" w:hAnsi="宋体"/>
          <w:color w:val="FF0000"/>
        </w:rPr>
        <w:t>划入到甲方指定账户（户名：</w:t>
      </w:r>
      <w:r>
        <w:rPr>
          <w:rFonts w:hint="eastAsia"/>
          <w:color w:val="FF0000"/>
          <w:u w:val="single"/>
        </w:rPr>
        <w:t>衢州市</w:t>
      </w:r>
      <w:r>
        <w:rPr>
          <w:rFonts w:hint="eastAsia"/>
          <w:color w:val="FF0000"/>
          <w:u w:val="single"/>
          <w:lang w:eastAsia="zh-CN"/>
        </w:rPr>
        <w:t>金融控股集团有限</w:t>
      </w:r>
      <w:r>
        <w:rPr>
          <w:rFonts w:hint="eastAsia"/>
          <w:color w:val="FF0000"/>
          <w:u w:val="single"/>
        </w:rPr>
        <w:t>公司</w:t>
      </w:r>
      <w:r>
        <w:rPr>
          <w:rFonts w:hint="eastAsia" w:ascii="宋体" w:hAnsi="宋体"/>
          <w:color w:val="FF0000"/>
        </w:rPr>
        <w:t>，账号：</w:t>
      </w:r>
      <w:r>
        <w:rPr>
          <w:rFonts w:hint="eastAsia"/>
          <w:color w:val="FF0000"/>
          <w:u w:val="single"/>
          <w:lang w:val="en-US" w:eastAsia="zh-CN"/>
        </w:rPr>
        <w:t>901000120190026422</w:t>
      </w:r>
      <w:r>
        <w:rPr>
          <w:rFonts w:hint="eastAsia" w:ascii="宋体" w:hAnsi="宋体"/>
          <w:color w:val="FF0000"/>
        </w:rPr>
        <w:t>，开户银行：</w:t>
      </w:r>
      <w:r>
        <w:rPr>
          <w:rFonts w:hint="eastAsia"/>
          <w:color w:val="FF0000"/>
          <w:u w:val="single"/>
          <w:lang w:eastAsia="zh-CN"/>
        </w:rPr>
        <w:t>温州银行</w:t>
      </w:r>
      <w:r>
        <w:rPr>
          <w:rFonts w:hint="eastAsia"/>
          <w:color w:val="FF0000"/>
          <w:u w:val="single"/>
        </w:rPr>
        <w:t xml:space="preserve"> </w:t>
      </w:r>
      <w:r>
        <w:rPr>
          <w:rFonts w:hint="eastAsia" w:ascii="宋体" w:hAnsi="宋体"/>
          <w:color w:val="FF0000"/>
        </w:rPr>
        <w:t>），待甲乙双方完成变更过户手续后，衢州市产权交易中心有限公司（凭工商变更凭证或甲乙双方或乙方出具的函告确认材料）将剩余20%的转让价款划入到甲方指定账户。</w:t>
      </w:r>
    </w:p>
    <w:p>
      <w:pPr>
        <w:spacing w:line="360" w:lineRule="auto"/>
        <w:rPr>
          <w:rFonts w:ascii="宋体" w:hAnsi="宋体"/>
          <w:color w:val="000000"/>
        </w:rPr>
      </w:pPr>
    </w:p>
    <w:p>
      <w:pPr>
        <w:spacing w:line="360" w:lineRule="auto"/>
        <w:ind w:firstLine="420" w:firstLineChars="200"/>
        <w:rPr>
          <w:rFonts w:ascii="宋体" w:hAnsi="宋体"/>
          <w:color w:val="000000"/>
        </w:rPr>
      </w:pPr>
      <w:r>
        <w:rPr>
          <w:rFonts w:hint="eastAsia" w:ascii="宋体" w:hAnsi="宋体"/>
          <w:color w:val="000000"/>
          <w:szCs w:val="21"/>
        </w:rPr>
        <w:t>4.甲乙双方在合同履行过程中产生争议的，产权交易中心可暂缓合同项下款项和费用的收取或支付等行为，待双方达成书面一致意见或经诉讼、仲裁等生效法律文书作出明确后照其办理。</w:t>
      </w:r>
    </w:p>
    <w:p>
      <w:pPr>
        <w:spacing w:line="360" w:lineRule="auto"/>
        <w:ind w:firstLine="420" w:firstLineChars="200"/>
        <w:rPr>
          <w:color w:val="000000"/>
          <w:u w:val="single"/>
        </w:rPr>
      </w:pPr>
    </w:p>
    <w:p>
      <w:pPr>
        <w:numPr>
          <w:ilvl w:val="0"/>
          <w:numId w:val="20"/>
        </w:numPr>
        <w:spacing w:line="360" w:lineRule="auto"/>
        <w:rPr>
          <w:b/>
          <w:bCs/>
          <w:color w:val="000000"/>
        </w:rPr>
      </w:pPr>
      <w:r>
        <w:rPr>
          <w:rFonts w:hint="eastAsia"/>
          <w:b/>
          <w:bCs/>
          <w:color w:val="000000"/>
        </w:rPr>
        <w:t>转让标的的交割事项</w:t>
      </w:r>
      <w:r>
        <w:rPr>
          <w:rFonts w:hint="eastAsia"/>
          <w:color w:val="000000"/>
        </w:rPr>
        <w:t>（下列根据实际情况商定）</w:t>
      </w:r>
    </w:p>
    <w:p>
      <w:pPr>
        <w:spacing w:line="360" w:lineRule="auto"/>
        <w:ind w:firstLine="420" w:firstLineChars="200"/>
        <w:rPr>
          <w:color w:val="000000"/>
        </w:rPr>
      </w:pPr>
      <w:r>
        <w:rPr>
          <w:rFonts w:hint="eastAsia" w:ascii="宋体" w:hAnsi="宋体"/>
          <w:color w:val="000000"/>
        </w:rPr>
        <w:t>1.甲、乙双方应履行或协助履行向审批机关申报的义务，并尽最大努力，配合处理任何审批机关提出的合理要求和质询，以获得审批机关对本合同及其项下产权交易的批准。</w:t>
      </w:r>
    </w:p>
    <w:p>
      <w:pPr>
        <w:spacing w:line="360" w:lineRule="auto"/>
        <w:ind w:firstLine="420" w:firstLineChars="200"/>
        <w:rPr>
          <w:rFonts w:ascii="宋体" w:hAnsi="宋体"/>
          <w:color w:val="000000"/>
        </w:rPr>
      </w:pPr>
      <w:r>
        <w:rPr>
          <w:rFonts w:hint="eastAsia" w:ascii="宋体" w:hAnsi="宋体"/>
          <w:color w:val="000000"/>
        </w:rPr>
        <w:t>2.产权交易中心在收到乙方打入的全部转让价款和全部服务费之日起</w:t>
      </w:r>
      <w:r>
        <w:rPr>
          <w:rFonts w:hint="eastAsia" w:ascii="宋体" w:hAnsi="宋体"/>
          <w:color w:val="FF0000"/>
          <w:u w:val="single"/>
        </w:rPr>
        <w:t>3</w:t>
      </w:r>
      <w:r>
        <w:rPr>
          <w:rFonts w:hint="eastAsia" w:ascii="宋体" w:hAnsi="宋体"/>
          <w:color w:val="FF0000"/>
        </w:rPr>
        <w:t>个工作</w:t>
      </w:r>
      <w:r>
        <w:rPr>
          <w:rFonts w:hint="eastAsia" w:ascii="宋体" w:hAnsi="宋体"/>
          <w:color w:val="000000"/>
        </w:rPr>
        <w:t>日内，向甲乙双方出具</w:t>
      </w:r>
      <w:r>
        <w:rPr>
          <w:rFonts w:hint="eastAsia" w:ascii="宋体" w:hAnsi="宋体"/>
          <w:color w:val="FF0000"/>
        </w:rPr>
        <w:t>产权交易凭证</w:t>
      </w:r>
      <w:r>
        <w:rPr>
          <w:rFonts w:hint="eastAsia" w:ascii="宋体" w:hAnsi="宋体"/>
          <w:color w:val="000000"/>
        </w:rPr>
        <w:t>。</w:t>
      </w:r>
    </w:p>
    <w:p>
      <w:pPr>
        <w:spacing w:line="360" w:lineRule="auto"/>
        <w:ind w:firstLine="420" w:firstLineChars="200"/>
        <w:rPr>
          <w:color w:val="000000"/>
        </w:rPr>
      </w:pPr>
      <w:r>
        <w:rPr>
          <w:rFonts w:hint="eastAsia"/>
          <w:color w:val="000000"/>
        </w:rPr>
        <w:t>3.本合同项下的产权交易获得产权交易中心出具的产权</w:t>
      </w:r>
      <w:r>
        <w:rPr>
          <w:color w:val="000000"/>
        </w:rPr>
        <w:t>交易凭证</w:t>
      </w:r>
      <w:r>
        <w:rPr>
          <w:rFonts w:hint="eastAsia"/>
          <w:color w:val="000000"/>
        </w:rPr>
        <w:t>后</w:t>
      </w:r>
      <w:r>
        <w:rPr>
          <w:rFonts w:hint="eastAsia"/>
          <w:color w:val="FF0000"/>
          <w:u w:val="single"/>
        </w:rPr>
        <w:t xml:space="preserve"> 10 </w:t>
      </w:r>
      <w:r>
        <w:rPr>
          <w:rFonts w:hint="eastAsia"/>
          <w:color w:val="FF0000"/>
        </w:rPr>
        <w:t>个工作</w:t>
      </w:r>
      <w:r>
        <w:rPr>
          <w:rFonts w:hint="eastAsia"/>
          <w:color w:val="000000"/>
        </w:rPr>
        <w:t>日内，甲方应促使标的企业到登记机关办理标的企业的股权变更登记手续，乙方应给予必要的协助与配合。登记机关办理完毕股权变更登记手续之日，视为产权交易完成之日（</w:t>
      </w:r>
      <w:r>
        <w:rPr>
          <w:rFonts w:hint="eastAsia"/>
        </w:rPr>
        <w:t>下称“交割日”</w:t>
      </w:r>
      <w:r>
        <w:rPr>
          <w:rFonts w:hint="eastAsia"/>
          <w:color w:val="000000"/>
        </w:rPr>
        <w:t>）。</w:t>
      </w:r>
    </w:p>
    <w:p>
      <w:pPr>
        <w:spacing w:line="360" w:lineRule="auto"/>
        <w:ind w:firstLine="420" w:firstLineChars="200"/>
        <w:rPr>
          <w:color w:val="000000"/>
        </w:rPr>
      </w:pPr>
      <w:r>
        <w:rPr>
          <w:rFonts w:hint="eastAsia"/>
          <w:color w:val="000000"/>
        </w:rPr>
        <w:t>4.产权交易完成后</w:t>
      </w:r>
      <w:r>
        <w:rPr>
          <w:rFonts w:hint="eastAsia"/>
          <w:color w:val="FF0000"/>
          <w:u w:val="single"/>
        </w:rPr>
        <w:t xml:space="preserve">  10</w:t>
      </w:r>
      <w:r>
        <w:rPr>
          <w:rFonts w:hint="eastAsia"/>
          <w:color w:val="000000"/>
          <w:u w:val="single"/>
        </w:rPr>
        <w:t xml:space="preserve"> </w:t>
      </w:r>
      <w:r>
        <w:rPr>
          <w:rFonts w:hint="eastAsia"/>
          <w:color w:val="000000"/>
        </w:rPr>
        <w:t>日内，双方应商定具体日期、地点，办理有关产权转让材料的交割事项。甲方将与转让标的相关的权属证书、批件、财务报表、资产清单、经济法律文书、文秘人事档案等文件资料编制《财产及资料清单》移交给乙方，由乙方核验查收。</w:t>
      </w:r>
    </w:p>
    <w:p>
      <w:pPr>
        <w:spacing w:line="360" w:lineRule="auto"/>
        <w:ind w:firstLine="420" w:firstLineChars="200"/>
        <w:rPr>
          <w:color w:val="000000"/>
        </w:rPr>
      </w:pPr>
      <w:r>
        <w:rPr>
          <w:rFonts w:hint="eastAsia"/>
          <w:color w:val="000000"/>
        </w:rPr>
        <w:t>5.甲方对其提供的上述表册的完整性、真实性以及所提供表册与对应的转让标的一致性负责，并承担因恶意隐瞒、虚报而给</w:t>
      </w:r>
      <w:r>
        <w:rPr>
          <w:color w:val="000000"/>
        </w:rPr>
        <w:t>乙方造成经济损失</w:t>
      </w:r>
      <w:r>
        <w:rPr>
          <w:rFonts w:hint="eastAsia"/>
          <w:color w:val="000000"/>
        </w:rPr>
        <w:t>的法律责任。</w:t>
      </w:r>
    </w:p>
    <w:p>
      <w:pPr>
        <w:spacing w:line="360" w:lineRule="auto"/>
        <w:ind w:firstLine="420" w:firstLineChars="200"/>
        <w:rPr>
          <w:color w:val="000000"/>
        </w:rPr>
      </w:pPr>
      <w:r>
        <w:rPr>
          <w:rFonts w:hint="eastAsia"/>
          <w:color w:val="000000"/>
        </w:rPr>
        <w:t>6.甲方应在上述约定的期限内，将标的企业的资产、控制权、管理权移交给乙方，由乙方对标的企业实施管理和控制。</w:t>
      </w:r>
    </w:p>
    <w:p>
      <w:pPr>
        <w:spacing w:line="360" w:lineRule="auto"/>
        <w:ind w:firstLine="420" w:firstLineChars="200"/>
        <w:jc w:val="left"/>
        <w:rPr>
          <w:color w:val="000000"/>
        </w:rPr>
      </w:pPr>
      <w:r>
        <w:rPr>
          <w:rFonts w:hint="eastAsia"/>
          <w:color w:val="000000"/>
        </w:rPr>
        <w:t>7.其它约定：</w:t>
      </w:r>
      <w:r>
        <w:rPr>
          <w:rFonts w:hint="eastAsia"/>
          <w:color w:val="000000"/>
          <w:u w:val="single"/>
        </w:rPr>
        <w:t xml:space="preserve">                                                       </w:t>
      </w:r>
      <w:r>
        <w:rPr>
          <w:rFonts w:hint="eastAsia"/>
          <w:color w:val="000000"/>
        </w:rPr>
        <w:t>。</w:t>
      </w:r>
    </w:p>
    <w:p>
      <w:pPr>
        <w:spacing w:line="360" w:lineRule="auto"/>
        <w:ind w:left="454"/>
        <w:rPr>
          <w:color w:val="000000"/>
        </w:rPr>
      </w:pPr>
    </w:p>
    <w:p>
      <w:pPr>
        <w:numPr>
          <w:ilvl w:val="0"/>
          <w:numId w:val="20"/>
        </w:numPr>
        <w:spacing w:line="360" w:lineRule="auto"/>
        <w:rPr>
          <w:b/>
          <w:bCs/>
          <w:color w:val="000000"/>
        </w:rPr>
      </w:pPr>
      <w:r>
        <w:rPr>
          <w:rFonts w:hint="eastAsia"/>
          <w:b/>
          <w:bCs/>
          <w:color w:val="000000"/>
        </w:rPr>
        <w:t>过渡期安排</w:t>
      </w:r>
    </w:p>
    <w:p>
      <w:pPr>
        <w:spacing w:line="360" w:lineRule="auto"/>
        <w:ind w:firstLine="420" w:firstLineChars="200"/>
        <w:rPr>
          <w:rFonts w:ascii="宋体" w:hAnsi="宋体"/>
          <w:color w:val="000000"/>
          <w:szCs w:val="21"/>
        </w:rPr>
      </w:pPr>
      <w:r>
        <w:rPr>
          <w:rFonts w:hint="eastAsia" w:ascii="宋体" w:hAnsi="宋体"/>
          <w:color w:val="000000"/>
          <w:szCs w:val="21"/>
        </w:rPr>
        <w:t>1.本合同过渡期内，甲方对标的企业及其资产负有谨慎、善意管理义务。甲方应保证和促使标的企业的正常经营，过渡期内标的企业出现的任何重大不利影响，甲方应及时通知乙方并作出妥善处理。</w:t>
      </w:r>
    </w:p>
    <w:p>
      <w:pPr>
        <w:spacing w:line="360" w:lineRule="auto"/>
        <w:ind w:firstLine="420" w:firstLineChars="200"/>
        <w:rPr>
          <w:rFonts w:ascii="宋体" w:hAnsi="宋体"/>
          <w:szCs w:val="21"/>
        </w:rPr>
      </w:pPr>
      <w:r>
        <w:rPr>
          <w:rFonts w:hint="eastAsia" w:ascii="宋体" w:hAnsi="宋体"/>
          <w:szCs w:val="21"/>
        </w:rPr>
        <w:t>2.本合同过渡期内，甲方及标的企业保证不得使标的企业承担《资产评估报告书》之外的负债或义务，不得转让或放弃权利，不得对标的企业的资产做任何贬损处置。但标的企业进行正常经营的除外，</w:t>
      </w:r>
      <w:r>
        <w:rPr>
          <w:rFonts w:hint="eastAsia"/>
        </w:rPr>
        <w:t>过渡期内标的企业的损益，经中介机构审计确认后由乙方享有或承担。</w:t>
      </w:r>
    </w:p>
    <w:p>
      <w:pPr>
        <w:spacing w:line="360" w:lineRule="auto"/>
        <w:ind w:left="454"/>
        <w:rPr>
          <w:rFonts w:ascii="宋体" w:hAnsi="宋体"/>
          <w:color w:val="000000"/>
          <w:szCs w:val="21"/>
        </w:rPr>
      </w:pPr>
    </w:p>
    <w:p>
      <w:pPr>
        <w:numPr>
          <w:ilvl w:val="0"/>
          <w:numId w:val="20"/>
        </w:numPr>
        <w:spacing w:line="360" w:lineRule="auto"/>
        <w:rPr>
          <w:b/>
          <w:bCs/>
          <w:color w:val="000000"/>
          <w:szCs w:val="21"/>
        </w:rPr>
      </w:pPr>
      <w:r>
        <w:rPr>
          <w:rFonts w:hint="eastAsia" w:ascii="宋体" w:hAnsi="宋体"/>
          <w:b/>
          <w:bCs/>
          <w:color w:val="000000"/>
          <w:szCs w:val="21"/>
        </w:rPr>
        <w:t>产权交易费用的承担</w:t>
      </w:r>
    </w:p>
    <w:p>
      <w:pPr>
        <w:spacing w:line="360" w:lineRule="auto"/>
        <w:ind w:firstLine="420" w:firstLineChars="200"/>
        <w:rPr>
          <w:color w:val="000000"/>
        </w:rPr>
      </w:pPr>
      <w:r>
        <w:rPr>
          <w:rFonts w:hint="eastAsia"/>
          <w:color w:val="000000"/>
        </w:rPr>
        <w:t>在本合同项下产权交易过程中所产生的产权交易费用，包括产权变更、过户等相关税费及其他费用，</w:t>
      </w:r>
      <w:r>
        <w:rPr>
          <w:rFonts w:hint="eastAsia"/>
        </w:rPr>
        <w:t>由甲乙双方按国家有关规定各自承担并自行办理有关事宜</w:t>
      </w:r>
      <w:r>
        <w:rPr>
          <w:rFonts w:hint="eastAsia"/>
          <w:color w:val="000000"/>
        </w:rPr>
        <w:t>。</w:t>
      </w:r>
    </w:p>
    <w:p>
      <w:pPr>
        <w:spacing w:line="360" w:lineRule="auto"/>
        <w:ind w:firstLine="420" w:firstLineChars="200"/>
        <w:rPr>
          <w:color w:val="000000"/>
        </w:rPr>
      </w:pPr>
    </w:p>
    <w:p>
      <w:pPr>
        <w:numPr>
          <w:ilvl w:val="0"/>
          <w:numId w:val="20"/>
        </w:numPr>
        <w:spacing w:line="360" w:lineRule="auto"/>
        <w:rPr>
          <w:b/>
          <w:color w:val="000000"/>
        </w:rPr>
      </w:pPr>
      <w:r>
        <w:rPr>
          <w:rFonts w:hint="eastAsia"/>
          <w:b/>
          <w:color w:val="000000"/>
        </w:rPr>
        <w:t>标的企业涉及的债权、债务处理方案</w:t>
      </w:r>
    </w:p>
    <w:p>
      <w:pPr>
        <w:numPr>
          <w:ilvl w:val="0"/>
          <w:numId w:val="23"/>
        </w:numPr>
        <w:spacing w:line="360" w:lineRule="auto"/>
        <w:ind w:left="454"/>
      </w:pPr>
      <w:r>
        <w:rPr>
          <w:rFonts w:hint="eastAsia"/>
        </w:rPr>
        <w:t>根据《资产评估报告书》，截至2018年12月31日，标的企业欠甲方全部债务为</w:t>
      </w:r>
    </w:p>
    <w:p>
      <w:pPr>
        <w:spacing w:line="360" w:lineRule="auto"/>
      </w:pPr>
      <w:r>
        <w:rPr>
          <w:rFonts w:hint="eastAsia"/>
          <w:lang w:val="en-US" w:eastAsia="zh-CN"/>
        </w:rPr>
        <w:t>2203181.25</w:t>
      </w:r>
      <w:r>
        <w:rPr>
          <w:rFonts w:hint="eastAsia"/>
        </w:rPr>
        <w:t>元（主要为标的企业</w:t>
      </w:r>
      <w:r>
        <w:rPr>
          <w:rFonts w:hint="eastAsia"/>
          <w:lang w:eastAsia="zh-CN"/>
        </w:rPr>
        <w:t>的装修款、职工薪酬、房租押金、质保金、水电物业费、社保服务费及财政贡献补差款</w:t>
      </w:r>
      <w:r>
        <w:rPr>
          <w:rFonts w:hint="eastAsia"/>
        </w:rPr>
        <w:t>等），由本次产权交易转让完成后的标的企业承继，并且</w:t>
      </w:r>
      <w:r>
        <w:t>乙方自愿</w:t>
      </w:r>
      <w:r>
        <w:rPr>
          <w:rFonts w:hint="eastAsia"/>
        </w:rPr>
        <w:t>为</w:t>
      </w:r>
      <w:r>
        <w:t>标的企业</w:t>
      </w:r>
      <w:r>
        <w:rPr>
          <w:rFonts w:hint="eastAsia"/>
        </w:rPr>
        <w:t>履行付款义务</w:t>
      </w:r>
      <w:r>
        <w:t>向甲方承担</w:t>
      </w:r>
      <w:r>
        <w:rPr>
          <w:rFonts w:hint="eastAsia"/>
        </w:rPr>
        <w:t>连带保证</w:t>
      </w:r>
      <w:r>
        <w:t>责任</w:t>
      </w:r>
      <w:r>
        <w:rPr>
          <w:rFonts w:hint="eastAsia"/>
        </w:rPr>
        <w:t>，</w:t>
      </w:r>
      <w:r>
        <w:t>保证范围包括但不限于标的企业欠甲方的全部债务、相关利息</w:t>
      </w:r>
      <w:r>
        <w:rPr>
          <w:rFonts w:hint="eastAsia"/>
        </w:rPr>
        <w:t>、</w:t>
      </w:r>
      <w:r>
        <w:t>违约金</w:t>
      </w:r>
      <w:r>
        <w:rPr>
          <w:rFonts w:hint="eastAsia"/>
        </w:rPr>
        <w:t>以及</w:t>
      </w:r>
      <w:r>
        <w:t>甲方</w:t>
      </w:r>
      <w:r>
        <w:rPr>
          <w:rFonts w:hint="eastAsia"/>
        </w:rPr>
        <w:t>为</w:t>
      </w:r>
      <w:r>
        <w:t>实现</w:t>
      </w:r>
      <w:r>
        <w:rPr>
          <w:rFonts w:hint="eastAsia"/>
        </w:rPr>
        <w:t>本合同</w:t>
      </w:r>
      <w:r>
        <w:t>项下债权所</w:t>
      </w:r>
      <w:r>
        <w:rPr>
          <w:rFonts w:hint="eastAsia"/>
        </w:rPr>
        <w:t>支付</w:t>
      </w:r>
      <w:r>
        <w:t>的律师费、诉讼费等费用</w:t>
      </w:r>
      <w:r>
        <w:rPr>
          <w:rFonts w:hint="eastAsia"/>
        </w:rPr>
        <w:t>。</w:t>
      </w:r>
    </w:p>
    <w:p>
      <w:pPr>
        <w:spacing w:line="360" w:lineRule="auto"/>
        <w:ind w:firstLine="420" w:firstLineChars="200"/>
        <w:rPr>
          <w:color w:val="0070C0"/>
        </w:rPr>
      </w:pPr>
      <w:r>
        <w:rPr>
          <w:rFonts w:hint="eastAsia"/>
        </w:rPr>
        <w:t>2.</w:t>
      </w:r>
      <w:r>
        <w:rPr>
          <w:rFonts w:hint="eastAsia"/>
          <w:color w:val="000000"/>
        </w:rPr>
        <w:t>《资产评估报告书》中未披露的债务，无论是甲方或标的企业过失遗漏还是故意隐瞒，均应由甲方自行承担。</w:t>
      </w:r>
    </w:p>
    <w:p>
      <w:pPr>
        <w:spacing w:line="360" w:lineRule="auto"/>
        <w:ind w:firstLine="420" w:firstLineChars="200"/>
        <w:rPr>
          <w:color w:val="000000"/>
        </w:rPr>
      </w:pPr>
      <w:r>
        <w:rPr>
          <w:rFonts w:hint="eastAsia"/>
          <w:color w:val="000000"/>
          <w:lang w:val="en-US" w:eastAsia="zh-CN"/>
        </w:rPr>
        <w:t>3.</w:t>
      </w:r>
      <w:r>
        <w:rPr>
          <w:rFonts w:hint="eastAsia"/>
          <w:color w:val="000000"/>
        </w:rPr>
        <w:t>甲乙双方另有以下约定的，从其约定：</w:t>
      </w:r>
      <w:r>
        <w:rPr>
          <w:rFonts w:hint="eastAsia"/>
          <w:color w:val="000000"/>
          <w:u w:val="single"/>
          <w:lang w:val="en-US" w:eastAsia="zh-CN"/>
        </w:rPr>
        <w:t xml:space="preserve">                                  </w:t>
      </w:r>
      <w:r>
        <w:rPr>
          <w:rFonts w:hint="eastAsia"/>
          <w:u w:val="single"/>
        </w:rPr>
        <w:t xml:space="preserve"> </w:t>
      </w:r>
      <w:r>
        <w:rPr>
          <w:rFonts w:hint="eastAsia"/>
          <w:color w:val="000000"/>
        </w:rPr>
        <w:t>。</w:t>
      </w:r>
    </w:p>
    <w:p>
      <w:pPr>
        <w:spacing w:line="360" w:lineRule="auto"/>
        <w:ind w:left="454"/>
        <w:rPr>
          <w:color w:val="000000"/>
        </w:rPr>
      </w:pPr>
    </w:p>
    <w:p>
      <w:pPr>
        <w:numPr>
          <w:ilvl w:val="0"/>
          <w:numId w:val="20"/>
        </w:numPr>
        <w:spacing w:line="360" w:lineRule="auto"/>
        <w:rPr>
          <w:color w:val="000000"/>
        </w:rPr>
      </w:pPr>
      <w:r>
        <w:rPr>
          <w:rFonts w:hint="eastAsia"/>
          <w:b/>
          <w:bCs/>
          <w:color w:val="000000"/>
        </w:rPr>
        <w:t>甲方的声明、保证和承诺</w:t>
      </w:r>
    </w:p>
    <w:p>
      <w:pPr>
        <w:numPr>
          <w:ilvl w:val="0"/>
          <w:numId w:val="0"/>
        </w:numPr>
        <w:spacing w:line="360" w:lineRule="auto"/>
        <w:ind w:left="454" w:leftChars="0"/>
      </w:pPr>
      <w:r>
        <w:rPr>
          <w:rFonts w:hint="eastAsia"/>
          <w:lang w:val="en-US" w:eastAsia="zh-CN"/>
        </w:rPr>
        <w:t>1.</w:t>
      </w:r>
      <w:r>
        <w:rPr>
          <w:rFonts w:hint="eastAsia"/>
        </w:rPr>
        <w:t>甲方对转让标的拥有合法、有效和完整的处分权；</w:t>
      </w:r>
    </w:p>
    <w:p>
      <w:pPr>
        <w:numPr>
          <w:ilvl w:val="0"/>
          <w:numId w:val="0"/>
        </w:numPr>
        <w:spacing w:line="360" w:lineRule="auto"/>
        <w:ind w:left="454" w:leftChars="0"/>
        <w:rPr>
          <w:rFonts w:hint="eastAsia"/>
        </w:rPr>
      </w:pPr>
      <w:r>
        <w:rPr>
          <w:rFonts w:hint="eastAsia"/>
          <w:lang w:val="en-US" w:eastAsia="zh-CN"/>
        </w:rPr>
        <w:t>2.</w:t>
      </w:r>
      <w:r>
        <w:rPr>
          <w:rFonts w:hint="eastAsia"/>
        </w:rPr>
        <w:t>甲方承诺申请挂牌时提交的各项证明文件及资料均为真实、准确、合法、有效和完</w:t>
      </w:r>
    </w:p>
    <w:p>
      <w:pPr>
        <w:numPr>
          <w:ilvl w:val="0"/>
          <w:numId w:val="0"/>
        </w:numPr>
        <w:spacing w:line="360" w:lineRule="auto"/>
      </w:pPr>
      <w:r>
        <w:rPr>
          <w:rFonts w:hint="eastAsia"/>
        </w:rPr>
        <w:t>整（含有关附件）；</w:t>
      </w:r>
    </w:p>
    <w:p>
      <w:pPr>
        <w:numPr>
          <w:ilvl w:val="0"/>
          <w:numId w:val="0"/>
        </w:numPr>
        <w:spacing w:line="360" w:lineRule="auto"/>
        <w:ind w:firstLine="420" w:firstLineChars="200"/>
      </w:pPr>
      <w:r>
        <w:rPr>
          <w:rFonts w:hint="eastAsia"/>
          <w:lang w:val="en-US" w:eastAsia="zh-CN"/>
        </w:rPr>
        <w:t>3.</w:t>
      </w:r>
      <w:r>
        <w:rPr>
          <w:rFonts w:hint="eastAsia"/>
        </w:rPr>
        <w:t>签订本合同所需的包括但不限于授权、审批、公司内部决策等在内的一切批准手续均已合法有效取得，本合同成立的前提及先决条件均已满足；</w:t>
      </w:r>
    </w:p>
    <w:p>
      <w:pPr>
        <w:numPr>
          <w:ilvl w:val="0"/>
          <w:numId w:val="0"/>
        </w:numPr>
        <w:spacing w:line="360" w:lineRule="auto"/>
        <w:ind w:left="454" w:leftChars="0"/>
      </w:pPr>
      <w:r>
        <w:rPr>
          <w:rFonts w:hint="eastAsia"/>
          <w:lang w:val="en-US" w:eastAsia="zh-CN"/>
        </w:rPr>
        <w:t>4.</w:t>
      </w:r>
      <w:r>
        <w:rPr>
          <w:rFonts w:hint="eastAsia"/>
        </w:rPr>
        <w:t>转让标的未设置任何可能影响产权转让的担保或限制。</w:t>
      </w:r>
    </w:p>
    <w:p>
      <w:pPr>
        <w:spacing w:line="520" w:lineRule="exact"/>
        <w:ind w:firstLine="420" w:firstLineChars="200"/>
      </w:pPr>
      <w:r>
        <w:rPr>
          <w:rFonts w:hint="eastAsia"/>
        </w:rPr>
        <w:t>或：</w:t>
      </w:r>
    </w:p>
    <w:p>
      <w:pPr>
        <w:spacing w:line="360" w:lineRule="auto"/>
        <w:ind w:firstLine="420" w:firstLineChars="200"/>
      </w:pPr>
      <w:r>
        <w:rPr>
          <w:rFonts w:hint="eastAsia"/>
        </w:rPr>
        <w:t>就转让标的上设置的可能影响产权转让的任何担保或限制，甲方已取得有关权利人的同意或认可。</w:t>
      </w:r>
    </w:p>
    <w:p>
      <w:pPr>
        <w:numPr>
          <w:ilvl w:val="0"/>
          <w:numId w:val="24"/>
        </w:numPr>
        <w:spacing w:line="360" w:lineRule="auto"/>
        <w:ind w:firstLine="420" w:firstLineChars="200"/>
        <w:rPr>
          <w:rFonts w:hint="eastAsia"/>
        </w:rPr>
      </w:pPr>
      <w:r>
        <w:rPr>
          <w:rFonts w:hint="eastAsia"/>
        </w:rPr>
        <w:t>给予一切合理及必要的协助，以完成本合同项下转让标的所需的有关政府主管部门的批准和变更；</w:t>
      </w:r>
    </w:p>
    <w:p>
      <w:pPr>
        <w:numPr>
          <w:ilvl w:val="0"/>
          <w:numId w:val="0"/>
        </w:numPr>
        <w:spacing w:line="360" w:lineRule="auto"/>
        <w:rPr>
          <w:rFonts w:hint="eastAsia"/>
        </w:rPr>
      </w:pPr>
    </w:p>
    <w:p>
      <w:pPr>
        <w:numPr>
          <w:ilvl w:val="0"/>
          <w:numId w:val="20"/>
        </w:numPr>
        <w:spacing w:line="360" w:lineRule="auto"/>
        <w:rPr>
          <w:b/>
          <w:bCs/>
          <w:color w:val="000000"/>
        </w:rPr>
      </w:pPr>
      <w:r>
        <w:rPr>
          <w:rFonts w:hint="eastAsia"/>
          <w:b/>
          <w:bCs/>
          <w:color w:val="000000"/>
        </w:rPr>
        <w:t>乙方的声明、保证和承诺</w:t>
      </w:r>
    </w:p>
    <w:p>
      <w:pPr>
        <w:numPr>
          <w:ilvl w:val="0"/>
          <w:numId w:val="25"/>
        </w:numPr>
        <w:spacing w:line="360" w:lineRule="auto"/>
        <w:ind w:firstLine="420" w:firstLineChars="200"/>
        <w:rPr>
          <w:color w:val="000000"/>
        </w:rPr>
      </w:pPr>
      <w:r>
        <w:rPr>
          <w:rFonts w:hint="eastAsia"/>
          <w:color w:val="000000"/>
        </w:rPr>
        <w:t>具有签订和履行本合同的能力；已对标的企业进行</w:t>
      </w:r>
      <w:r>
        <w:rPr>
          <w:color w:val="000000"/>
        </w:rPr>
        <w:t>了尽调，</w:t>
      </w:r>
      <w:r>
        <w:rPr>
          <w:rFonts w:hint="eastAsia"/>
          <w:color w:val="000000"/>
        </w:rPr>
        <w:t>确认</w:t>
      </w:r>
      <w:r>
        <w:rPr>
          <w:color w:val="000000"/>
        </w:rPr>
        <w:t>标的企业符合本协议</w:t>
      </w:r>
      <w:r>
        <w:rPr>
          <w:rFonts w:hint="eastAsia"/>
          <w:color w:val="000000"/>
        </w:rPr>
        <w:t>约定</w:t>
      </w:r>
      <w:r>
        <w:rPr>
          <w:color w:val="000000"/>
        </w:rPr>
        <w:t>的转让条件和要求。</w:t>
      </w:r>
    </w:p>
    <w:p>
      <w:pPr>
        <w:numPr>
          <w:ilvl w:val="0"/>
          <w:numId w:val="25"/>
        </w:numPr>
        <w:spacing w:line="360" w:lineRule="auto"/>
        <w:ind w:firstLine="420" w:firstLineChars="200"/>
        <w:rPr>
          <w:color w:val="000000"/>
        </w:rPr>
      </w:pPr>
      <w:r>
        <w:rPr>
          <w:rFonts w:hint="eastAsia"/>
          <w:color w:val="000000"/>
        </w:rPr>
        <w:t>签订本合同所需的各项授权、审批，以及内部决策等在内的一切批准手续均已合法有效取得；</w:t>
      </w:r>
    </w:p>
    <w:p>
      <w:pPr>
        <w:spacing w:line="360" w:lineRule="auto"/>
        <w:ind w:firstLine="420" w:firstLineChars="200"/>
        <w:rPr>
          <w:color w:val="000000"/>
        </w:rPr>
      </w:pPr>
      <w:r>
        <w:rPr>
          <w:rFonts w:hint="eastAsia"/>
          <w:color w:val="000000"/>
          <w:lang w:val="en-US" w:eastAsia="zh-CN"/>
        </w:rPr>
        <w:t>3</w:t>
      </w:r>
      <w:r>
        <w:rPr>
          <w:rFonts w:hint="eastAsia"/>
          <w:color w:val="000000"/>
        </w:rPr>
        <w:t>.乙方受让转让标的没有违反对受让方具有约束力的合同、协议等所有法律文件；</w:t>
      </w:r>
    </w:p>
    <w:p>
      <w:pPr>
        <w:spacing w:line="360" w:lineRule="auto"/>
        <w:ind w:firstLine="420" w:firstLineChars="200"/>
        <w:rPr>
          <w:color w:val="000000"/>
        </w:rPr>
      </w:pPr>
      <w:r>
        <w:rPr>
          <w:rFonts w:hint="eastAsia"/>
          <w:color w:val="000000"/>
          <w:lang w:val="en-US" w:eastAsia="zh-CN"/>
        </w:rPr>
        <w:t>4</w:t>
      </w:r>
      <w:r>
        <w:rPr>
          <w:rFonts w:hint="eastAsia"/>
          <w:color w:val="000000"/>
        </w:rPr>
        <w:t>.乙方承诺竞买报名所提交的资料和符合受让条件的相关证明均为真实、准确、合法、有效和完整（含有关附件），并已知悉工商等部门关于办理变更登记手续的有关规定，确保自身受让的主体资格和所提供的所有资料均能符合工商等部门对公司股东主体资格的要求。</w:t>
      </w:r>
    </w:p>
    <w:p>
      <w:pPr>
        <w:spacing w:line="360" w:lineRule="auto"/>
        <w:ind w:firstLine="420" w:firstLineChars="200"/>
        <w:rPr>
          <w:rFonts w:hint="eastAsia"/>
          <w:color w:val="000000"/>
        </w:rPr>
      </w:pPr>
      <w:r>
        <w:rPr>
          <w:rFonts w:hint="eastAsia"/>
          <w:color w:val="000000"/>
          <w:lang w:val="en-US" w:eastAsia="zh-CN"/>
        </w:rPr>
        <w:t>5</w:t>
      </w:r>
      <w:r>
        <w:rPr>
          <w:rFonts w:hint="eastAsia"/>
          <w:color w:val="000000"/>
        </w:rPr>
        <w:t>.乙方承诺因受让转让标的而打入产权交易中心指定账户并委托其代为支付的转让价款，款项来源真实、合法。如今后因此笔款项发生问题，所引起的一切法律后果，均由乙方承担。</w:t>
      </w:r>
    </w:p>
    <w:p>
      <w:pPr>
        <w:spacing w:line="360" w:lineRule="auto"/>
        <w:ind w:firstLine="420" w:firstLineChars="200"/>
        <w:rPr>
          <w:rFonts w:hint="eastAsia"/>
          <w:color w:val="000000"/>
        </w:rPr>
      </w:pPr>
    </w:p>
    <w:p>
      <w:pPr>
        <w:numPr>
          <w:ilvl w:val="0"/>
          <w:numId w:val="20"/>
        </w:numPr>
        <w:spacing w:line="360" w:lineRule="auto"/>
        <w:rPr>
          <w:b/>
          <w:bCs/>
          <w:color w:val="000000"/>
        </w:rPr>
      </w:pPr>
      <w:r>
        <w:rPr>
          <w:rFonts w:hint="eastAsia"/>
          <w:b/>
          <w:bCs/>
          <w:color w:val="000000"/>
        </w:rPr>
        <w:t>违约责任</w:t>
      </w:r>
    </w:p>
    <w:p>
      <w:pPr>
        <w:spacing w:line="360" w:lineRule="auto"/>
        <w:ind w:firstLine="420" w:firstLineChars="200"/>
        <w:rPr>
          <w:color w:val="000000"/>
        </w:rPr>
      </w:pPr>
      <w:r>
        <w:rPr>
          <w:rFonts w:hint="eastAsia"/>
          <w:color w:val="000000"/>
        </w:rPr>
        <w:t>1.本</w:t>
      </w:r>
      <w:r>
        <w:rPr>
          <w:rFonts w:hint="eastAsia"/>
        </w:rPr>
        <w:t>合同订立后，甲乙任何一方无</w:t>
      </w:r>
      <w:r>
        <w:rPr>
          <w:rFonts w:hint="eastAsia"/>
          <w:color w:val="000000"/>
        </w:rPr>
        <w:t>故提出终</w:t>
      </w:r>
      <w:r>
        <w:rPr>
          <w:rFonts w:hint="eastAsia"/>
        </w:rPr>
        <w:t>止合同，应向对方一次性</w:t>
      </w:r>
      <w:r>
        <w:rPr>
          <w:rFonts w:hint="eastAsia"/>
          <w:color w:val="000000"/>
        </w:rPr>
        <w:t>按总转让价款的</w:t>
      </w:r>
      <w:r>
        <w:rPr>
          <w:rFonts w:hint="eastAsia"/>
          <w:color w:val="000000"/>
          <w:u w:val="single"/>
        </w:rPr>
        <w:t xml:space="preserve"> </w:t>
      </w:r>
      <w:r>
        <w:rPr>
          <w:rFonts w:hint="eastAsia"/>
          <w:color w:val="000000"/>
          <w:u w:val="single"/>
          <w:lang w:val="en-US" w:eastAsia="zh-CN"/>
        </w:rPr>
        <w:t>5</w:t>
      </w:r>
      <w:r>
        <w:rPr>
          <w:rFonts w:hint="eastAsia"/>
          <w:color w:val="000000"/>
          <w:u w:val="single"/>
        </w:rPr>
        <w:t xml:space="preserve"> </w:t>
      </w:r>
      <w:r>
        <w:rPr>
          <w:rFonts w:hint="eastAsia"/>
          <w:color w:val="000000"/>
        </w:rPr>
        <w:t>%的标准</w:t>
      </w:r>
      <w:r>
        <w:rPr>
          <w:rFonts w:hint="eastAsia"/>
        </w:rPr>
        <w:t>支付违约金，给对方造成损失的，还应承担赔偿责任。</w:t>
      </w:r>
    </w:p>
    <w:p>
      <w:pPr>
        <w:numPr>
          <w:ilvl w:val="0"/>
          <w:numId w:val="26"/>
        </w:numPr>
        <w:tabs>
          <w:tab w:val="left" w:pos="567"/>
          <w:tab w:val="clear" w:pos="473"/>
        </w:tabs>
        <w:spacing w:line="360" w:lineRule="auto"/>
        <w:ind w:left="0"/>
      </w:pPr>
      <w:r>
        <w:rPr>
          <w:rFonts w:hint="eastAsia"/>
          <w:color w:val="000000"/>
        </w:rPr>
        <w:t>2.乙方未按合同约定期限支付转让价款的，应向甲方支付逾期付款违约金。违约金按照延迟支付期间应付价款的每日万分之</w:t>
      </w:r>
      <w:r>
        <w:rPr>
          <w:rFonts w:hint="eastAsia"/>
          <w:color w:val="000000"/>
          <w:u w:val="single"/>
        </w:rPr>
        <w:t xml:space="preserve"> </w:t>
      </w:r>
      <w:r>
        <w:rPr>
          <w:rFonts w:hint="eastAsia"/>
          <w:color w:val="000000"/>
          <w:u w:val="single"/>
          <w:lang w:eastAsia="zh-CN"/>
        </w:rPr>
        <w:t>五</w:t>
      </w:r>
      <w:r>
        <w:rPr>
          <w:rFonts w:hint="eastAsia"/>
          <w:color w:val="000000"/>
        </w:rPr>
        <w:t>计算。逾期付款超过</w:t>
      </w:r>
      <w:r>
        <w:rPr>
          <w:rFonts w:hint="eastAsia"/>
          <w:color w:val="000000"/>
          <w:u w:val="single"/>
        </w:rPr>
        <w:t xml:space="preserve"> 十</w:t>
      </w:r>
      <w:r>
        <w:rPr>
          <w:rFonts w:hint="eastAsia"/>
          <w:color w:val="000000"/>
        </w:rPr>
        <w:t>日，甲方有权解除合同，</w:t>
      </w:r>
      <w:r>
        <w:rPr>
          <w:rFonts w:hint="eastAsia"/>
        </w:rPr>
        <w:t>要求乙方按照本合同</w:t>
      </w:r>
      <w:r>
        <w:rPr>
          <w:rFonts w:hint="eastAsia"/>
          <w:color w:val="000000"/>
        </w:rPr>
        <w:t>总转让价款的</w:t>
      </w:r>
      <w:r>
        <w:rPr>
          <w:rFonts w:hint="eastAsia"/>
          <w:color w:val="FF0000"/>
          <w:u w:val="single"/>
        </w:rPr>
        <w:t xml:space="preserve"> </w:t>
      </w:r>
      <w:r>
        <w:rPr>
          <w:rFonts w:hint="eastAsia"/>
          <w:color w:val="FF0000"/>
          <w:u w:val="single"/>
          <w:lang w:val="en-US" w:eastAsia="zh-CN"/>
        </w:rPr>
        <w:t>5</w:t>
      </w:r>
      <w:r>
        <w:rPr>
          <w:rFonts w:hint="eastAsia"/>
          <w:color w:val="FF0000"/>
          <w:u w:val="single"/>
        </w:rPr>
        <w:t xml:space="preserve"> </w:t>
      </w:r>
      <w:r>
        <w:rPr>
          <w:rFonts w:hint="eastAsia"/>
          <w:color w:val="FF0000"/>
        </w:rPr>
        <w:t>%</w:t>
      </w:r>
      <w:r>
        <w:rPr>
          <w:rFonts w:hint="eastAsia"/>
          <w:color w:val="000000"/>
        </w:rPr>
        <w:t>的标准</w:t>
      </w:r>
      <w:r>
        <w:rPr>
          <w:rFonts w:hint="eastAsia"/>
        </w:rPr>
        <w:t>承担违约责任，并要求乙方承担甲方及标的企业因此遭受的损失。</w:t>
      </w:r>
    </w:p>
    <w:p>
      <w:pPr>
        <w:spacing w:line="360" w:lineRule="auto"/>
        <w:ind w:firstLine="420" w:firstLineChars="200"/>
      </w:pPr>
    </w:p>
    <w:p>
      <w:pPr>
        <w:spacing w:line="360" w:lineRule="auto"/>
        <w:ind w:firstLine="420" w:firstLineChars="200"/>
      </w:pPr>
      <w:r>
        <w:rPr>
          <w:rFonts w:hint="eastAsia"/>
        </w:rPr>
        <w:t>3.甲方无正当事由未按本合同约定交割转让标的的，乙方有权解除本合同，并要求甲方按照本合同总转让价款的</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%的标准向乙方支付违约金。</w:t>
      </w:r>
    </w:p>
    <w:p>
      <w:pPr>
        <w:spacing w:line="360" w:lineRule="auto"/>
        <w:ind w:firstLine="420" w:firstLineChars="200"/>
        <w:rPr>
          <w:color w:val="000000"/>
        </w:rPr>
      </w:pPr>
      <w:r>
        <w:rPr>
          <w:rFonts w:hint="eastAsia"/>
        </w:rPr>
        <w:t>5.标的企业的资产、债务等存在重大事项未披露或存在遗漏，对标的企业可能造成重大不利影响，或可能严重影响产权转让价值的，乙方有权解除合同，并要求甲方按照本合同总转让价款的</w:t>
      </w:r>
      <w:r>
        <w:rPr>
          <w:rFonts w:hint="eastAsia"/>
          <w:u w:val="single"/>
        </w:rPr>
        <w:t xml:space="preserve"> 20 </w:t>
      </w:r>
      <w:r>
        <w:rPr>
          <w:rFonts w:hint="eastAsia"/>
        </w:rPr>
        <w:t>%的标准承担违约责任。乙方不解除合同的，有权要求甲方就有关事项进行补偿。补偿金额应相当于上述未披露或遗漏的资产、债务等事项可能导致的标的企业的损失数额。</w:t>
      </w:r>
    </w:p>
    <w:p>
      <w:pPr>
        <w:spacing w:line="360" w:lineRule="auto"/>
        <w:ind w:firstLine="420" w:firstLineChars="200"/>
        <w:rPr>
          <w:color w:val="000000"/>
        </w:rPr>
      </w:pPr>
      <w:r>
        <w:rPr>
          <w:rFonts w:hint="eastAsia"/>
          <w:color w:val="000000"/>
        </w:rPr>
        <w:t>6.由于一方的过错造成本合同不能履行、不能完全履行或被政府有关部门认定为未生效、无效或未获批准等情形时，由过错的一方承担违约责任，双方均有过错的，则由双方按责任大小承担各自相应的责任。</w:t>
      </w:r>
    </w:p>
    <w:p>
      <w:pPr>
        <w:spacing w:line="360" w:lineRule="auto"/>
        <w:ind w:firstLine="420" w:firstLineChars="200"/>
        <w:rPr>
          <w:color w:val="000000"/>
        </w:rPr>
      </w:pPr>
      <w:r>
        <w:rPr>
          <w:rFonts w:hint="eastAsia"/>
          <w:color w:val="000000"/>
        </w:rPr>
        <w:t>7.违约方尚应承担守约方因主张权利发生的调查费、诉讼费、律师费等损失。</w:t>
      </w:r>
    </w:p>
    <w:p>
      <w:pPr>
        <w:spacing w:line="360" w:lineRule="auto"/>
        <w:ind w:left="454"/>
        <w:rPr>
          <w:color w:val="000000"/>
        </w:rPr>
      </w:pPr>
    </w:p>
    <w:p>
      <w:pPr>
        <w:numPr>
          <w:ilvl w:val="0"/>
          <w:numId w:val="20"/>
        </w:numPr>
        <w:spacing w:line="360" w:lineRule="auto"/>
        <w:rPr>
          <w:b/>
          <w:bCs/>
          <w:color w:val="000000"/>
        </w:rPr>
      </w:pPr>
      <w:r>
        <w:rPr>
          <w:rFonts w:hint="eastAsia"/>
          <w:b/>
          <w:bCs/>
          <w:color w:val="000000"/>
        </w:rPr>
        <w:t>管辖及争议解决方式</w:t>
      </w:r>
    </w:p>
    <w:p>
      <w:pPr>
        <w:spacing w:line="360" w:lineRule="auto"/>
        <w:ind w:left="454"/>
        <w:rPr>
          <w:color w:val="000000"/>
        </w:rPr>
      </w:pPr>
      <w:r>
        <w:rPr>
          <w:rFonts w:hint="eastAsia"/>
          <w:color w:val="000000"/>
        </w:rPr>
        <w:t>1.本合同及产权交易中的行为均适用中华人民共和国法律。</w:t>
      </w:r>
    </w:p>
    <w:p>
      <w:pPr>
        <w:spacing w:line="360" w:lineRule="auto"/>
        <w:ind w:left="454"/>
        <w:rPr>
          <w:color w:val="000000"/>
        </w:rPr>
      </w:pPr>
      <w:r>
        <w:rPr>
          <w:rFonts w:hint="eastAsia"/>
          <w:color w:val="000000"/>
        </w:rPr>
        <w:t>2.当事人之间发生争议的，应由双方协商解决，协商解决不成的，按下列第</w:t>
      </w:r>
      <w:r>
        <w:rPr>
          <w:rFonts w:hint="eastAsia"/>
          <w:b/>
          <w:color w:val="000000"/>
          <w:szCs w:val="21"/>
          <w:u w:val="single"/>
        </w:rPr>
        <w:t xml:space="preserve"> </w:t>
      </w:r>
      <w:r>
        <w:rPr>
          <w:rFonts w:hint="eastAsia"/>
          <w:b/>
          <w:szCs w:val="21"/>
          <w:u w:val="single"/>
        </w:rPr>
        <w:t xml:space="preserve"> </w:t>
      </w:r>
      <w:r>
        <w:rPr>
          <w:rFonts w:hint="eastAsia"/>
          <w:szCs w:val="21"/>
          <w:u w:val="single"/>
        </w:rPr>
        <w:t>2</w:t>
      </w:r>
      <w:r>
        <w:rPr>
          <w:rFonts w:hint="eastAsia"/>
          <w:b/>
          <w:color w:val="000000"/>
          <w:szCs w:val="21"/>
          <w:u w:val="single"/>
        </w:rPr>
        <w:t xml:space="preserve"> </w:t>
      </w:r>
      <w:r>
        <w:rPr>
          <w:rFonts w:hint="eastAsia"/>
          <w:color w:val="000000"/>
          <w:szCs w:val="21"/>
          <w:u w:val="single"/>
        </w:rPr>
        <w:t xml:space="preserve">  </w:t>
      </w:r>
      <w:r>
        <w:rPr>
          <w:rFonts w:hint="eastAsia"/>
          <w:color w:val="000000"/>
        </w:rPr>
        <w:t>种</w:t>
      </w:r>
    </w:p>
    <w:p>
      <w:pPr>
        <w:spacing w:line="360" w:lineRule="auto"/>
        <w:rPr>
          <w:color w:val="000000"/>
        </w:rPr>
      </w:pPr>
      <w:r>
        <w:rPr>
          <w:rFonts w:hint="eastAsia"/>
          <w:color w:val="000000"/>
        </w:rPr>
        <w:t>方式解决：（任选一种）</w:t>
      </w:r>
    </w:p>
    <w:p>
      <w:pPr>
        <w:numPr>
          <w:ilvl w:val="0"/>
          <w:numId w:val="27"/>
        </w:numPr>
        <w:spacing w:line="360" w:lineRule="auto"/>
        <w:rPr>
          <w:color w:val="000000"/>
        </w:rPr>
      </w:pPr>
      <w:r>
        <w:rPr>
          <w:rFonts w:hint="eastAsia"/>
          <w:color w:val="000000"/>
        </w:rPr>
        <w:t>提交</w:t>
      </w:r>
      <w:r>
        <w:rPr>
          <w:rFonts w:hint="eastAsia"/>
          <w:color w:val="000000"/>
          <w:u w:val="single"/>
        </w:rPr>
        <w:t xml:space="preserve">  </w:t>
      </w:r>
      <w:r>
        <w:rPr>
          <w:rFonts w:hint="eastAsia"/>
          <w:b/>
          <w:color w:val="000000"/>
          <w:u w:val="single"/>
        </w:rPr>
        <w:t xml:space="preserve">      </w:t>
      </w:r>
      <w:r>
        <w:rPr>
          <w:rFonts w:hint="eastAsia"/>
          <w:color w:val="000000"/>
          <w:u w:val="single"/>
        </w:rPr>
        <w:t xml:space="preserve">            </w:t>
      </w:r>
      <w:r>
        <w:rPr>
          <w:rFonts w:hint="eastAsia"/>
          <w:color w:val="000000"/>
        </w:rPr>
        <w:t>仲裁委员会仲裁并依其仲裁规则一裁终局；</w:t>
      </w:r>
    </w:p>
    <w:p>
      <w:pPr>
        <w:numPr>
          <w:ilvl w:val="0"/>
          <w:numId w:val="27"/>
        </w:numPr>
        <w:spacing w:line="360" w:lineRule="auto"/>
        <w:rPr>
          <w:color w:val="000000"/>
        </w:rPr>
      </w:pPr>
      <w:r>
        <w:rPr>
          <w:rFonts w:hint="eastAsia"/>
          <w:color w:val="000000"/>
        </w:rPr>
        <w:t>依法向</w:t>
      </w:r>
      <w:r>
        <w:rPr>
          <w:rFonts w:hint="eastAsia"/>
          <w:color w:val="000000"/>
          <w:u w:val="single"/>
        </w:rPr>
        <w:t xml:space="preserve">  </w:t>
      </w:r>
      <w:r>
        <w:rPr>
          <w:rFonts w:hint="eastAsia"/>
          <w:u w:val="single"/>
        </w:rPr>
        <w:t>衢州市柯城区</w:t>
      </w:r>
      <w:r>
        <w:rPr>
          <w:rFonts w:hint="eastAsia"/>
          <w:color w:val="FF0000"/>
          <w:u w:val="single"/>
        </w:rPr>
        <w:t xml:space="preserve"> </w:t>
      </w:r>
      <w:r>
        <w:rPr>
          <w:rFonts w:hint="eastAsia"/>
          <w:color w:val="000000"/>
          <w:u w:val="single"/>
        </w:rPr>
        <w:t xml:space="preserve"> </w:t>
      </w:r>
      <w:r>
        <w:rPr>
          <w:rFonts w:hint="eastAsia"/>
          <w:color w:val="000000"/>
        </w:rPr>
        <w:t>人民法院起诉。</w:t>
      </w:r>
    </w:p>
    <w:p>
      <w:pPr>
        <w:spacing w:line="360" w:lineRule="auto"/>
        <w:ind w:firstLine="420" w:firstLineChars="200"/>
        <w:rPr>
          <w:color w:val="000000"/>
        </w:rPr>
      </w:pPr>
    </w:p>
    <w:p>
      <w:pPr>
        <w:numPr>
          <w:ilvl w:val="0"/>
          <w:numId w:val="20"/>
        </w:numPr>
        <w:spacing w:line="360" w:lineRule="auto"/>
        <w:rPr>
          <w:b/>
          <w:bCs/>
          <w:color w:val="000000"/>
        </w:rPr>
      </w:pPr>
      <w:r>
        <w:rPr>
          <w:rFonts w:hint="eastAsia"/>
          <w:b/>
          <w:bCs/>
          <w:color w:val="000000"/>
        </w:rPr>
        <w:t>通知与送达</w:t>
      </w:r>
    </w:p>
    <w:p>
      <w:pPr>
        <w:spacing w:line="360" w:lineRule="auto"/>
        <w:ind w:firstLine="420" w:firstLineChars="200"/>
        <w:rPr>
          <w:bCs/>
          <w:color w:val="000000"/>
        </w:rPr>
      </w:pPr>
      <w:r>
        <w:rPr>
          <w:rFonts w:hint="eastAsia"/>
          <w:bCs/>
          <w:color w:val="000000"/>
        </w:rPr>
        <w:t>1.因履行本合同而发生的一方发给另一方的通知或信件应是书面的，按本合同内所示下列地址发送。通知或信件应由专人送交或通过邮政局传递。派人送交，签收时生效；如邮政局传送，则于送达时视为正式送交。更改地址要在5日之内以书面通知对方，如因一方未通知地址变更导致送达不能或约定地址无人接收通知或信件的，则在一方向约定地址寄送通知或信件之日起第5日视为送达。</w:t>
      </w:r>
    </w:p>
    <w:p>
      <w:pPr>
        <w:spacing w:line="360" w:lineRule="auto"/>
        <w:ind w:left="454"/>
        <w:rPr>
          <w:bCs/>
          <w:color w:val="000000"/>
        </w:rPr>
      </w:pPr>
      <w:r>
        <w:rPr>
          <w:rFonts w:hint="eastAsia"/>
          <w:bCs/>
          <w:color w:val="000000"/>
        </w:rPr>
        <w:t>2.双方通讯地址如下：</w:t>
      </w:r>
    </w:p>
    <w:p>
      <w:pPr>
        <w:spacing w:line="360" w:lineRule="auto"/>
        <w:ind w:firstLine="840" w:firstLineChars="400"/>
        <w:rPr>
          <w:bCs/>
          <w:color w:val="000000"/>
        </w:rPr>
      </w:pPr>
      <w:r>
        <w:rPr>
          <w:rFonts w:hint="eastAsia"/>
          <w:bCs/>
          <w:color w:val="000000"/>
        </w:rPr>
        <w:t>甲方：衢州市</w:t>
      </w:r>
      <w:r>
        <w:rPr>
          <w:rFonts w:hint="eastAsia"/>
          <w:bCs/>
          <w:color w:val="000000"/>
          <w:lang w:eastAsia="zh-CN"/>
        </w:rPr>
        <w:t>金融控股集团有限</w:t>
      </w:r>
      <w:r>
        <w:rPr>
          <w:rFonts w:hint="eastAsia"/>
          <w:bCs/>
          <w:color w:val="000000"/>
        </w:rPr>
        <w:t>公司</w:t>
      </w:r>
    </w:p>
    <w:p>
      <w:pPr>
        <w:spacing w:line="360" w:lineRule="auto"/>
        <w:ind w:firstLine="840" w:firstLineChars="400"/>
        <w:rPr>
          <w:bCs/>
          <w:color w:val="000000"/>
        </w:rPr>
      </w:pPr>
      <w:r>
        <w:rPr>
          <w:rFonts w:hint="eastAsia"/>
          <w:bCs/>
          <w:color w:val="000000"/>
        </w:rPr>
        <w:t>地址：衢州市柯城区</w:t>
      </w:r>
      <w:r>
        <w:rPr>
          <w:rFonts w:hint="eastAsia"/>
          <w:bCs/>
          <w:color w:val="000000"/>
          <w:lang w:eastAsia="zh-CN"/>
        </w:rPr>
        <w:t>芹江东路</w:t>
      </w:r>
      <w:r>
        <w:rPr>
          <w:rFonts w:hint="eastAsia"/>
          <w:bCs/>
          <w:color w:val="000000"/>
          <w:lang w:val="en-US" w:eastAsia="zh-CN"/>
        </w:rPr>
        <w:t>288号3幢507</w:t>
      </w:r>
      <w:r>
        <w:rPr>
          <w:rFonts w:hint="eastAsia"/>
          <w:bCs/>
          <w:color w:val="000000"/>
        </w:rPr>
        <w:t>室</w:t>
      </w:r>
    </w:p>
    <w:p>
      <w:pPr>
        <w:spacing w:line="360" w:lineRule="auto"/>
        <w:ind w:firstLine="840" w:firstLineChars="400"/>
        <w:rPr>
          <w:bCs/>
          <w:color w:val="000000"/>
        </w:rPr>
      </w:pPr>
      <w:r>
        <w:rPr>
          <w:rFonts w:hint="eastAsia"/>
          <w:bCs/>
          <w:color w:val="000000"/>
        </w:rPr>
        <w:t>电话：</w:t>
      </w:r>
    </w:p>
    <w:p>
      <w:pPr>
        <w:spacing w:line="360" w:lineRule="auto"/>
        <w:ind w:firstLine="840" w:firstLineChars="400"/>
        <w:rPr>
          <w:bCs/>
          <w:color w:val="000000"/>
        </w:rPr>
      </w:pPr>
      <w:r>
        <w:rPr>
          <w:rFonts w:hint="eastAsia"/>
          <w:bCs/>
          <w:color w:val="000000"/>
        </w:rPr>
        <w:t>邮编：324000</w:t>
      </w:r>
    </w:p>
    <w:p>
      <w:pPr>
        <w:spacing w:line="360" w:lineRule="auto"/>
        <w:ind w:firstLine="840" w:firstLineChars="400"/>
        <w:rPr>
          <w:bCs/>
          <w:color w:val="000000"/>
        </w:rPr>
      </w:pPr>
      <w:r>
        <w:rPr>
          <w:rFonts w:hint="eastAsia"/>
          <w:bCs/>
          <w:color w:val="000000"/>
        </w:rPr>
        <w:t>传真：</w:t>
      </w:r>
    </w:p>
    <w:p>
      <w:pPr>
        <w:spacing w:line="360" w:lineRule="auto"/>
        <w:ind w:firstLine="1155" w:firstLineChars="550"/>
        <w:rPr>
          <w:bCs/>
          <w:color w:val="000000"/>
        </w:rPr>
      </w:pPr>
    </w:p>
    <w:p>
      <w:pPr>
        <w:spacing w:line="360" w:lineRule="auto"/>
        <w:ind w:firstLine="840" w:firstLineChars="400"/>
        <w:rPr>
          <w:bCs/>
          <w:color w:val="000000"/>
        </w:rPr>
      </w:pPr>
      <w:r>
        <w:rPr>
          <w:rFonts w:hint="eastAsia"/>
          <w:bCs/>
          <w:color w:val="000000"/>
        </w:rPr>
        <w:t>乙方：</w:t>
      </w:r>
    </w:p>
    <w:p>
      <w:pPr>
        <w:spacing w:line="360" w:lineRule="auto"/>
        <w:ind w:firstLine="840" w:firstLineChars="400"/>
        <w:rPr>
          <w:bCs/>
          <w:color w:val="000000"/>
        </w:rPr>
      </w:pPr>
      <w:r>
        <w:rPr>
          <w:rFonts w:hint="eastAsia"/>
          <w:bCs/>
          <w:color w:val="000000"/>
        </w:rPr>
        <w:t>地址：</w:t>
      </w:r>
    </w:p>
    <w:p>
      <w:pPr>
        <w:spacing w:line="360" w:lineRule="auto"/>
        <w:ind w:firstLine="840" w:firstLineChars="400"/>
        <w:rPr>
          <w:bCs/>
          <w:color w:val="000000"/>
        </w:rPr>
      </w:pPr>
      <w:r>
        <w:rPr>
          <w:rFonts w:hint="eastAsia"/>
          <w:bCs/>
          <w:color w:val="000000"/>
        </w:rPr>
        <w:t>电话：</w:t>
      </w:r>
    </w:p>
    <w:p>
      <w:pPr>
        <w:spacing w:line="360" w:lineRule="auto"/>
        <w:ind w:firstLine="840" w:firstLineChars="400"/>
        <w:rPr>
          <w:bCs/>
          <w:color w:val="000000"/>
        </w:rPr>
      </w:pPr>
      <w:r>
        <w:rPr>
          <w:rFonts w:hint="eastAsia"/>
          <w:bCs/>
          <w:color w:val="000000"/>
        </w:rPr>
        <w:t>邮编：</w:t>
      </w:r>
    </w:p>
    <w:p>
      <w:pPr>
        <w:spacing w:line="360" w:lineRule="auto"/>
        <w:ind w:firstLine="840" w:firstLineChars="400"/>
        <w:rPr>
          <w:bCs/>
          <w:color w:val="000000"/>
        </w:rPr>
      </w:pPr>
      <w:r>
        <w:rPr>
          <w:rFonts w:hint="eastAsia"/>
          <w:bCs/>
          <w:color w:val="000000"/>
        </w:rPr>
        <w:t>传真：</w:t>
      </w:r>
    </w:p>
    <w:p>
      <w:pPr>
        <w:spacing w:line="360" w:lineRule="auto"/>
        <w:ind w:firstLine="840" w:firstLineChars="400"/>
        <w:rPr>
          <w:bCs/>
          <w:color w:val="000000"/>
        </w:rPr>
      </w:pPr>
    </w:p>
    <w:p>
      <w:pPr>
        <w:numPr>
          <w:ilvl w:val="0"/>
          <w:numId w:val="20"/>
        </w:numPr>
        <w:spacing w:line="360" w:lineRule="auto"/>
        <w:rPr>
          <w:b/>
          <w:bCs/>
          <w:color w:val="000000"/>
        </w:rPr>
      </w:pPr>
      <w:r>
        <w:rPr>
          <w:rFonts w:hint="eastAsia"/>
          <w:b/>
          <w:bCs/>
          <w:color w:val="000000"/>
        </w:rPr>
        <w:t>合同的变更和解除</w:t>
      </w:r>
    </w:p>
    <w:p>
      <w:pPr>
        <w:spacing w:line="360" w:lineRule="auto"/>
        <w:ind w:firstLine="420" w:firstLineChars="200"/>
        <w:rPr>
          <w:color w:val="000000"/>
        </w:rPr>
      </w:pPr>
      <w:r>
        <w:rPr>
          <w:rFonts w:hint="eastAsia"/>
          <w:color w:val="000000"/>
        </w:rPr>
        <w:t>1.当事人双方协商一致，可以解除本合同。</w:t>
      </w:r>
    </w:p>
    <w:p>
      <w:pPr>
        <w:spacing w:line="360" w:lineRule="auto"/>
        <w:ind w:firstLine="420" w:firstLineChars="200"/>
        <w:rPr>
          <w:color w:val="000000"/>
        </w:rPr>
      </w:pPr>
      <w:r>
        <w:rPr>
          <w:rFonts w:hint="eastAsia"/>
          <w:color w:val="000000"/>
        </w:rPr>
        <w:t>2.发生下列情况之一时，一方可以解除本合同。</w:t>
      </w:r>
    </w:p>
    <w:p>
      <w:pPr>
        <w:numPr>
          <w:ilvl w:val="0"/>
          <w:numId w:val="28"/>
        </w:numPr>
        <w:spacing w:line="360" w:lineRule="auto"/>
        <w:rPr>
          <w:color w:val="000000"/>
        </w:rPr>
      </w:pPr>
      <w:r>
        <w:rPr>
          <w:rFonts w:hint="eastAsia"/>
          <w:color w:val="000000"/>
        </w:rPr>
        <w:t>由于不可抗力或不可归责于双方的原因致使本合同的目的无法实现的。</w:t>
      </w:r>
    </w:p>
    <w:p>
      <w:pPr>
        <w:numPr>
          <w:ilvl w:val="0"/>
          <w:numId w:val="28"/>
        </w:numPr>
        <w:spacing w:line="360" w:lineRule="auto"/>
        <w:rPr>
          <w:color w:val="000000"/>
        </w:rPr>
      </w:pPr>
      <w:r>
        <w:rPr>
          <w:rFonts w:hint="eastAsia"/>
          <w:color w:val="000000"/>
        </w:rPr>
        <w:t>另一方已丧失实际履约能力的。</w:t>
      </w:r>
    </w:p>
    <w:p>
      <w:pPr>
        <w:numPr>
          <w:ilvl w:val="0"/>
          <w:numId w:val="28"/>
        </w:numPr>
        <w:spacing w:line="360" w:lineRule="auto"/>
        <w:rPr>
          <w:color w:val="000000"/>
        </w:rPr>
      </w:pPr>
      <w:r>
        <w:rPr>
          <w:rFonts w:hint="eastAsia"/>
          <w:color w:val="000000"/>
        </w:rPr>
        <w:t>另一方严重违约致使不能实现合同目的的；</w:t>
      </w:r>
    </w:p>
    <w:p>
      <w:pPr>
        <w:numPr>
          <w:ilvl w:val="0"/>
          <w:numId w:val="28"/>
        </w:numPr>
        <w:spacing w:line="360" w:lineRule="auto"/>
        <w:rPr>
          <w:color w:val="000000"/>
        </w:rPr>
      </w:pPr>
      <w:r>
        <w:rPr>
          <w:rFonts w:hint="eastAsia"/>
          <w:color w:val="000000"/>
        </w:rPr>
        <w:t>另一方出现本合同第十四条所述违约情形的。</w:t>
      </w:r>
    </w:p>
    <w:p>
      <w:pPr>
        <w:spacing w:line="360" w:lineRule="auto"/>
        <w:ind w:firstLine="420" w:firstLineChars="200"/>
        <w:rPr>
          <w:color w:val="000000"/>
        </w:rPr>
      </w:pPr>
      <w:r>
        <w:rPr>
          <w:rFonts w:hint="eastAsia"/>
          <w:color w:val="000000"/>
        </w:rPr>
        <w:t>3.当事人双方协商一致，在不影响合同主要条款继续履行的前提下，可以变更本合同。变更或解除本合同均应采用书面形式，并送产权交易中心备案。</w:t>
      </w:r>
    </w:p>
    <w:p>
      <w:pPr>
        <w:spacing w:line="360" w:lineRule="auto"/>
        <w:ind w:left="454"/>
        <w:rPr>
          <w:color w:val="000000"/>
        </w:rPr>
      </w:pPr>
    </w:p>
    <w:p>
      <w:pPr>
        <w:numPr>
          <w:ilvl w:val="0"/>
          <w:numId w:val="20"/>
        </w:numPr>
        <w:spacing w:line="360" w:lineRule="auto"/>
        <w:rPr>
          <w:b/>
          <w:bCs/>
          <w:color w:val="000000"/>
        </w:rPr>
      </w:pPr>
      <w:r>
        <w:rPr>
          <w:rFonts w:hint="eastAsia"/>
          <w:b/>
          <w:bCs/>
          <w:color w:val="000000"/>
        </w:rPr>
        <w:t>合同的生效</w:t>
      </w:r>
    </w:p>
    <w:p>
      <w:pPr>
        <w:spacing w:line="360" w:lineRule="auto"/>
        <w:ind w:firstLine="420" w:firstLineChars="200"/>
        <w:rPr>
          <w:color w:val="000000"/>
        </w:rPr>
      </w:pPr>
      <w:r>
        <w:rPr>
          <w:rFonts w:hint="eastAsia"/>
          <w:color w:val="000000"/>
        </w:rPr>
        <w:t>本合同自甲乙双方签字</w:t>
      </w:r>
      <w:r>
        <w:rPr>
          <w:rFonts w:hint="eastAsia"/>
        </w:rPr>
        <w:t>并加盖公章之</w:t>
      </w:r>
      <w:r>
        <w:rPr>
          <w:rFonts w:hint="eastAsia"/>
          <w:color w:val="000000"/>
        </w:rPr>
        <w:t>日起生效。</w:t>
      </w:r>
    </w:p>
    <w:p>
      <w:pPr>
        <w:spacing w:line="360" w:lineRule="auto"/>
        <w:ind w:firstLine="420" w:firstLineChars="200"/>
        <w:rPr>
          <w:color w:val="000000"/>
        </w:rPr>
      </w:pPr>
    </w:p>
    <w:p>
      <w:pPr>
        <w:numPr>
          <w:ilvl w:val="0"/>
          <w:numId w:val="20"/>
        </w:numPr>
        <w:spacing w:line="360" w:lineRule="auto"/>
        <w:rPr>
          <w:b/>
          <w:bCs/>
          <w:color w:val="000000"/>
        </w:rPr>
      </w:pPr>
      <w:r>
        <w:rPr>
          <w:rFonts w:hint="eastAsia"/>
          <w:b/>
          <w:bCs/>
          <w:color w:val="000000"/>
        </w:rPr>
        <w:t>其他约定事项</w:t>
      </w:r>
    </w:p>
    <w:p>
      <w:pPr>
        <w:spacing w:line="360" w:lineRule="auto"/>
        <w:ind w:firstLine="420" w:firstLineChars="200"/>
        <w:rPr>
          <w:color w:val="000000"/>
        </w:rPr>
      </w:pPr>
      <w:r>
        <w:rPr>
          <w:rFonts w:hint="eastAsia"/>
          <w:color w:val="000000"/>
        </w:rPr>
        <w:t>1.本合同生效后，双方对本合同内容的变更或补充应采用书面形式订立，并作</w:t>
      </w:r>
    </w:p>
    <w:p>
      <w:pPr>
        <w:spacing w:line="360" w:lineRule="auto"/>
        <w:rPr>
          <w:color w:val="000000"/>
        </w:rPr>
      </w:pPr>
      <w:r>
        <w:rPr>
          <w:rFonts w:hint="eastAsia"/>
          <w:color w:val="000000"/>
        </w:rPr>
        <w:t>为本合同的附件。附件与本合同具有同等的法律效力。</w:t>
      </w:r>
    </w:p>
    <w:p>
      <w:pPr>
        <w:spacing w:line="360" w:lineRule="auto"/>
        <w:ind w:firstLine="420" w:firstLineChars="200"/>
        <w:rPr>
          <w:color w:val="000000"/>
        </w:rPr>
      </w:pPr>
      <w:r>
        <w:rPr>
          <w:rFonts w:hint="eastAsia"/>
          <w:color w:val="000000"/>
        </w:rPr>
        <w:t>2.乙方在受让转让标的过程中依照挂牌条件递交的所有报名文件为本合同不可</w:t>
      </w:r>
    </w:p>
    <w:p>
      <w:pPr>
        <w:spacing w:line="360" w:lineRule="auto"/>
        <w:rPr>
          <w:color w:val="000000"/>
        </w:rPr>
      </w:pPr>
      <w:r>
        <w:rPr>
          <w:rFonts w:hint="eastAsia"/>
          <w:color w:val="000000"/>
        </w:rPr>
        <w:t>分割的组成部分，与本合同具有同等法律效力。</w:t>
      </w:r>
    </w:p>
    <w:p>
      <w:pPr>
        <w:spacing w:line="360" w:lineRule="auto"/>
        <w:ind w:firstLine="420" w:firstLineChars="200"/>
      </w:pPr>
      <w:r>
        <w:rPr>
          <w:rFonts w:hint="eastAsia"/>
        </w:rPr>
        <w:t>3.如甲乙双方此前已签订相关协议，内容与本合同不一致的，以本合同为准。</w:t>
      </w:r>
    </w:p>
    <w:p>
      <w:pPr>
        <w:spacing w:line="360" w:lineRule="auto"/>
        <w:ind w:firstLine="420" w:firstLineChars="200"/>
        <w:rPr>
          <w:color w:val="000000"/>
        </w:rPr>
      </w:pPr>
      <w:r>
        <w:rPr>
          <w:rFonts w:hint="eastAsia"/>
          <w:color w:val="000000"/>
        </w:rPr>
        <w:t>4.本合同共有以下附件</w:t>
      </w:r>
      <w:r>
        <w:rPr>
          <w:rFonts w:hint="eastAsia"/>
          <w:color w:val="000000"/>
          <w:u w:val="single"/>
        </w:rPr>
        <w:t xml:space="preserve">   </w:t>
      </w:r>
      <w:r>
        <w:rPr>
          <w:rFonts w:hint="eastAsia"/>
          <w:color w:val="000000"/>
        </w:rPr>
        <w:t>件，系本合同的组成部分：</w:t>
      </w:r>
    </w:p>
    <w:p>
      <w:pPr>
        <w:spacing w:line="360" w:lineRule="auto"/>
        <w:ind w:left="454"/>
        <w:rPr>
          <w:color w:val="000000"/>
        </w:rPr>
      </w:pPr>
      <w:r>
        <w:rPr>
          <w:rFonts w:hint="eastAsia"/>
          <w:color w:val="000000"/>
        </w:rPr>
        <w:t>（1）附件一：</w:t>
      </w:r>
    </w:p>
    <w:p>
      <w:pPr>
        <w:spacing w:line="360" w:lineRule="auto"/>
        <w:ind w:left="454"/>
        <w:rPr>
          <w:color w:val="000000"/>
        </w:rPr>
      </w:pPr>
      <w:r>
        <w:rPr>
          <w:rFonts w:hint="eastAsia"/>
          <w:color w:val="000000"/>
        </w:rPr>
        <w:t>（2）附件二：……。</w:t>
      </w:r>
    </w:p>
    <w:p>
      <w:pPr>
        <w:spacing w:line="360" w:lineRule="auto"/>
        <w:ind w:firstLine="420" w:firstLineChars="200"/>
        <w:rPr>
          <w:color w:val="000000"/>
        </w:rPr>
      </w:pPr>
      <w:r>
        <w:rPr>
          <w:rFonts w:hint="eastAsia"/>
          <w:color w:val="000000"/>
        </w:rPr>
        <w:t>5.本合同一式</w:t>
      </w:r>
      <w:r>
        <w:rPr>
          <w:rFonts w:hint="eastAsia"/>
          <w:u w:val="single"/>
        </w:rPr>
        <w:t xml:space="preserve"> </w:t>
      </w:r>
      <w:r>
        <w:rPr>
          <w:rFonts w:hint="eastAsia"/>
          <w:u w:val="single"/>
          <w:lang w:eastAsia="zh-CN"/>
        </w:rPr>
        <w:t>柒</w:t>
      </w:r>
      <w:r>
        <w:rPr>
          <w:rFonts w:hint="eastAsia"/>
          <w:u w:val="single"/>
        </w:rPr>
        <w:t xml:space="preserve"> </w:t>
      </w:r>
      <w:r>
        <w:rPr>
          <w:rFonts w:hint="eastAsia"/>
        </w:rPr>
        <w:t>份，甲、乙双方各执</w:t>
      </w:r>
      <w:r>
        <w:rPr>
          <w:rFonts w:hint="eastAsia"/>
          <w:u w:val="single"/>
        </w:rPr>
        <w:t xml:space="preserve">  叁 </w:t>
      </w:r>
      <w:r>
        <w:rPr>
          <w:rFonts w:hint="eastAsia"/>
        </w:rPr>
        <w:t>份，鉴证方产权交易中心留存</w:t>
      </w:r>
      <w:r>
        <w:rPr>
          <w:rFonts w:hint="eastAsia"/>
          <w:u w:val="single"/>
        </w:rPr>
        <w:t xml:space="preserve"> 壹 </w:t>
      </w:r>
      <w:r>
        <w:rPr>
          <w:rFonts w:hint="eastAsia"/>
        </w:rPr>
        <w:t>份</w:t>
      </w:r>
      <w:r>
        <w:rPr>
          <w:rFonts w:hint="eastAsia"/>
          <w:color w:val="000000"/>
        </w:rPr>
        <w:t>用于备案</w:t>
      </w:r>
      <w:r>
        <w:rPr>
          <w:rFonts w:hint="eastAsia" w:ascii="宋体" w:hAnsi="宋体"/>
          <w:color w:val="000000"/>
          <w:szCs w:val="21"/>
        </w:rPr>
        <w:t>并可作为产权交易中心处置合同项下有关款项和费用的依据</w:t>
      </w:r>
      <w:r>
        <w:rPr>
          <w:rFonts w:hint="eastAsia"/>
          <w:color w:val="000000"/>
        </w:rPr>
        <w:t>，其余</w:t>
      </w:r>
      <w:r>
        <w:rPr>
          <w:rFonts w:hint="eastAsia"/>
          <w:color w:val="000000"/>
          <w:u w:val="single"/>
        </w:rPr>
        <w:t xml:space="preserve">  </w:t>
      </w:r>
      <w:r>
        <w:rPr>
          <w:rFonts w:hint="eastAsia"/>
          <w:u w:val="single"/>
        </w:rPr>
        <w:t xml:space="preserve">贰 </w:t>
      </w:r>
      <w:r>
        <w:rPr>
          <w:rFonts w:hint="eastAsia"/>
          <w:color w:val="000000"/>
        </w:rPr>
        <w:t>份报相关部门。</w:t>
      </w:r>
    </w:p>
    <w:p>
      <w:pPr>
        <w:spacing w:line="360" w:lineRule="auto"/>
        <w:ind w:firstLine="420" w:firstLineChars="200"/>
        <w:rPr>
          <w:color w:val="000000"/>
        </w:rPr>
      </w:pPr>
    </w:p>
    <w:p>
      <w:pPr>
        <w:spacing w:line="360" w:lineRule="auto"/>
        <w:ind w:firstLine="420" w:firstLineChars="200"/>
        <w:rPr>
          <w:color w:val="000000"/>
          <w:u w:val="single"/>
        </w:rPr>
      </w:pPr>
    </w:p>
    <w:p>
      <w:pPr>
        <w:spacing w:line="360" w:lineRule="auto"/>
        <w:ind w:left="840"/>
        <w:rPr>
          <w:rFonts w:ascii="宋体" w:hAnsi="宋体"/>
          <w:color w:val="000000"/>
          <w:sz w:val="18"/>
          <w:szCs w:val="18"/>
        </w:rPr>
      </w:pPr>
    </w:p>
    <w:p>
      <w:pPr>
        <w:spacing w:line="360" w:lineRule="auto"/>
        <w:ind w:left="840"/>
        <w:rPr>
          <w:rFonts w:ascii="宋体" w:hAnsi="宋体"/>
          <w:color w:val="000000"/>
          <w:sz w:val="18"/>
          <w:szCs w:val="18"/>
        </w:rPr>
      </w:pPr>
    </w:p>
    <w:p>
      <w:pPr>
        <w:spacing w:line="360" w:lineRule="auto"/>
        <w:ind w:left="840"/>
        <w:rPr>
          <w:rFonts w:ascii="宋体" w:hAnsi="宋体"/>
          <w:color w:val="000000"/>
          <w:sz w:val="18"/>
          <w:szCs w:val="18"/>
        </w:rPr>
      </w:pPr>
    </w:p>
    <w:p>
      <w:pPr>
        <w:spacing w:line="360" w:lineRule="auto"/>
        <w:ind w:left="840"/>
        <w:rPr>
          <w:rFonts w:ascii="宋体" w:hAnsi="宋体"/>
          <w:color w:val="000000"/>
          <w:sz w:val="18"/>
          <w:szCs w:val="18"/>
        </w:rPr>
      </w:pPr>
    </w:p>
    <w:p>
      <w:pPr>
        <w:spacing w:line="360" w:lineRule="auto"/>
        <w:ind w:left="840"/>
        <w:rPr>
          <w:rFonts w:ascii="宋体" w:hAnsi="宋体"/>
          <w:color w:val="000000"/>
          <w:sz w:val="18"/>
          <w:szCs w:val="18"/>
        </w:rPr>
      </w:pPr>
    </w:p>
    <w:p>
      <w:pPr>
        <w:spacing w:line="360" w:lineRule="auto"/>
        <w:ind w:left="840"/>
        <w:rPr>
          <w:rFonts w:ascii="宋体" w:hAnsi="宋体"/>
          <w:color w:val="000000"/>
          <w:sz w:val="18"/>
          <w:szCs w:val="18"/>
        </w:rPr>
      </w:pPr>
    </w:p>
    <w:p>
      <w:pPr>
        <w:spacing w:line="360" w:lineRule="auto"/>
        <w:ind w:left="840"/>
        <w:rPr>
          <w:rFonts w:ascii="宋体" w:hAnsi="宋体"/>
          <w:color w:val="000000"/>
          <w:sz w:val="18"/>
          <w:szCs w:val="18"/>
        </w:rPr>
      </w:pPr>
    </w:p>
    <w:p>
      <w:pPr>
        <w:spacing w:line="360" w:lineRule="auto"/>
        <w:ind w:left="840"/>
        <w:rPr>
          <w:rFonts w:ascii="宋体" w:hAnsi="宋体"/>
          <w:color w:val="000000"/>
          <w:sz w:val="18"/>
          <w:szCs w:val="18"/>
        </w:rPr>
      </w:pPr>
    </w:p>
    <w:p>
      <w:pPr>
        <w:spacing w:line="360" w:lineRule="auto"/>
        <w:ind w:left="840"/>
        <w:rPr>
          <w:rFonts w:ascii="宋体" w:hAnsi="宋体"/>
          <w:color w:val="000000"/>
          <w:sz w:val="18"/>
          <w:szCs w:val="18"/>
        </w:rPr>
      </w:pPr>
    </w:p>
    <w:p>
      <w:pPr>
        <w:spacing w:line="360" w:lineRule="auto"/>
        <w:ind w:left="840"/>
        <w:rPr>
          <w:rFonts w:ascii="宋体" w:hAnsi="宋体"/>
          <w:color w:val="000000"/>
          <w:sz w:val="18"/>
          <w:szCs w:val="18"/>
        </w:rPr>
      </w:pPr>
    </w:p>
    <w:p>
      <w:pPr>
        <w:spacing w:line="360" w:lineRule="auto"/>
        <w:ind w:left="840"/>
        <w:rPr>
          <w:rFonts w:ascii="宋体" w:hAnsi="宋体"/>
          <w:color w:val="000000"/>
          <w:sz w:val="18"/>
          <w:szCs w:val="18"/>
        </w:rPr>
      </w:pPr>
    </w:p>
    <w:p>
      <w:pPr>
        <w:spacing w:line="360" w:lineRule="auto"/>
        <w:ind w:left="840"/>
        <w:rPr>
          <w:rFonts w:ascii="宋体" w:hAnsi="宋体"/>
          <w:color w:val="000000"/>
          <w:sz w:val="18"/>
          <w:szCs w:val="18"/>
        </w:rPr>
      </w:pPr>
    </w:p>
    <w:p>
      <w:pPr>
        <w:spacing w:line="360" w:lineRule="auto"/>
        <w:rPr>
          <w:rFonts w:ascii="宋体" w:hAnsi="宋体"/>
          <w:color w:val="000000"/>
          <w:sz w:val="18"/>
          <w:szCs w:val="18"/>
        </w:rPr>
      </w:pPr>
    </w:p>
    <w:p>
      <w:pPr>
        <w:spacing w:line="360" w:lineRule="auto"/>
        <w:rPr>
          <w:b/>
          <w:color w:val="000000"/>
        </w:rPr>
      </w:pPr>
      <w:r>
        <w:rPr>
          <w:rFonts w:hint="eastAsia"/>
          <w:b/>
          <w:color w:val="000000"/>
        </w:rPr>
        <w:t>（此页为《衢州市柯城区九龙谷房地产开发有限公司100%股权转让交易合同》签署页，无正文）</w:t>
      </w:r>
    </w:p>
    <w:p>
      <w:pPr>
        <w:spacing w:line="360" w:lineRule="auto"/>
        <w:rPr>
          <w:color w:val="000000"/>
        </w:rPr>
      </w:pPr>
    </w:p>
    <w:p>
      <w:pPr>
        <w:spacing w:line="360" w:lineRule="auto"/>
        <w:rPr>
          <w:rFonts w:ascii="宋体" w:hAnsi="宋体"/>
          <w:color w:val="000000"/>
          <w:sz w:val="24"/>
        </w:rPr>
      </w:pPr>
      <w:r>
        <w:rPr>
          <w:rFonts w:hint="eastAsia"/>
          <w:b/>
          <w:color w:val="000000"/>
          <w:sz w:val="24"/>
        </w:rPr>
        <w:t>转让方（甲方）：衢州</w:t>
      </w:r>
      <w:r>
        <w:rPr>
          <w:rFonts w:hint="eastAsia"/>
          <w:b/>
          <w:color w:val="000000"/>
          <w:sz w:val="24"/>
          <w:lang w:eastAsia="zh-CN"/>
        </w:rPr>
        <w:t>金融控股集团有限</w:t>
      </w:r>
      <w:r>
        <w:rPr>
          <w:rFonts w:hint="eastAsia"/>
          <w:b/>
          <w:color w:val="000000"/>
          <w:sz w:val="24"/>
        </w:rPr>
        <w:t>公司</w:t>
      </w:r>
    </w:p>
    <w:p>
      <w:pPr>
        <w:spacing w:line="360" w:lineRule="auto"/>
        <w:rPr>
          <w:b/>
          <w:color w:val="000000"/>
          <w:sz w:val="24"/>
        </w:rPr>
      </w:pPr>
    </w:p>
    <w:p>
      <w:pPr>
        <w:spacing w:line="360" w:lineRule="auto"/>
        <w:rPr>
          <w:b/>
          <w:color w:val="000000"/>
          <w:sz w:val="24"/>
        </w:rPr>
      </w:pPr>
      <w:r>
        <w:rPr>
          <w:rFonts w:hint="eastAsia"/>
          <w:b/>
          <w:color w:val="000000"/>
          <w:sz w:val="24"/>
        </w:rPr>
        <w:t>授权代表/法定代表人（签字）：</w:t>
      </w:r>
    </w:p>
    <w:p>
      <w:pPr>
        <w:spacing w:line="360" w:lineRule="auto"/>
        <w:rPr>
          <w:b/>
          <w:color w:val="000000"/>
          <w:sz w:val="24"/>
        </w:rPr>
      </w:pPr>
    </w:p>
    <w:p>
      <w:pPr>
        <w:spacing w:line="360" w:lineRule="auto"/>
        <w:rPr>
          <w:b/>
          <w:color w:val="000000"/>
          <w:sz w:val="24"/>
        </w:rPr>
      </w:pPr>
      <w:r>
        <w:rPr>
          <w:rFonts w:hint="eastAsia"/>
          <w:b/>
          <w:color w:val="000000"/>
          <w:sz w:val="24"/>
        </w:rPr>
        <w:t>签署日期：</w:t>
      </w:r>
    </w:p>
    <w:p>
      <w:pPr>
        <w:spacing w:line="360" w:lineRule="auto"/>
        <w:rPr>
          <w:b/>
          <w:color w:val="000000"/>
          <w:sz w:val="24"/>
        </w:rPr>
      </w:pPr>
    </w:p>
    <w:p>
      <w:pPr>
        <w:spacing w:line="360" w:lineRule="auto"/>
        <w:rPr>
          <w:b/>
          <w:color w:val="000000"/>
          <w:sz w:val="24"/>
        </w:rPr>
      </w:pPr>
      <w:r>
        <w:rPr>
          <w:rFonts w:hint="eastAsia"/>
          <w:b/>
          <w:color w:val="000000"/>
          <w:sz w:val="24"/>
        </w:rPr>
        <w:t>受让方（乙方）：</w:t>
      </w:r>
    </w:p>
    <w:p>
      <w:pPr>
        <w:spacing w:line="360" w:lineRule="auto"/>
        <w:rPr>
          <w:b/>
          <w:color w:val="000000"/>
          <w:sz w:val="24"/>
        </w:rPr>
      </w:pPr>
    </w:p>
    <w:p>
      <w:pPr>
        <w:spacing w:line="360" w:lineRule="auto"/>
        <w:rPr>
          <w:b/>
          <w:color w:val="000000"/>
          <w:sz w:val="24"/>
        </w:rPr>
      </w:pPr>
      <w:r>
        <w:rPr>
          <w:rFonts w:hint="eastAsia"/>
          <w:b/>
          <w:color w:val="000000"/>
          <w:sz w:val="24"/>
        </w:rPr>
        <w:t>授权代表/法定代表人（签字）：</w:t>
      </w:r>
    </w:p>
    <w:p>
      <w:pPr>
        <w:spacing w:line="360" w:lineRule="auto"/>
        <w:rPr>
          <w:b/>
          <w:color w:val="000000"/>
          <w:sz w:val="24"/>
        </w:rPr>
      </w:pPr>
    </w:p>
    <w:p>
      <w:pPr>
        <w:spacing w:line="360" w:lineRule="auto"/>
        <w:rPr>
          <w:b/>
          <w:color w:val="000000"/>
          <w:sz w:val="24"/>
        </w:rPr>
      </w:pPr>
      <w:r>
        <w:rPr>
          <w:rFonts w:hint="eastAsia"/>
          <w:b/>
          <w:color w:val="000000"/>
          <w:sz w:val="24"/>
        </w:rPr>
        <w:t>签署日期：</w:t>
      </w:r>
    </w:p>
    <w:p>
      <w:pPr>
        <w:spacing w:line="360" w:lineRule="auto"/>
        <w:rPr>
          <w:b/>
          <w:color w:val="000000"/>
          <w:sz w:val="24"/>
        </w:rPr>
      </w:pPr>
    </w:p>
    <w:p>
      <w:pPr>
        <w:spacing w:line="360" w:lineRule="auto"/>
        <w:rPr>
          <w:b/>
          <w:color w:val="000000"/>
          <w:sz w:val="24"/>
        </w:rPr>
      </w:pPr>
      <w:r>
        <w:rPr>
          <w:rFonts w:hint="eastAsia"/>
          <w:b/>
          <w:color w:val="000000"/>
          <w:sz w:val="24"/>
        </w:rPr>
        <w:t>鉴证方：衢州市产权交易中心有限公司</w:t>
      </w:r>
    </w:p>
    <w:p>
      <w:pPr>
        <w:spacing w:line="360" w:lineRule="auto"/>
        <w:rPr>
          <w:b/>
          <w:color w:val="000000"/>
          <w:sz w:val="24"/>
        </w:rPr>
      </w:pPr>
    </w:p>
    <w:p>
      <w:pPr>
        <w:spacing w:line="360" w:lineRule="auto"/>
        <w:rPr>
          <w:b/>
          <w:color w:val="000000"/>
          <w:sz w:val="24"/>
        </w:rPr>
      </w:pPr>
      <w:r>
        <w:rPr>
          <w:rFonts w:hint="eastAsia"/>
          <w:b/>
          <w:color w:val="000000"/>
          <w:sz w:val="24"/>
        </w:rPr>
        <w:t>授权代表/法定代表人（签字）：</w:t>
      </w:r>
    </w:p>
    <w:p>
      <w:pPr>
        <w:spacing w:line="360" w:lineRule="auto"/>
        <w:rPr>
          <w:b/>
          <w:color w:val="000000"/>
          <w:sz w:val="24"/>
        </w:rPr>
      </w:pPr>
    </w:p>
    <w:p>
      <w:pPr>
        <w:spacing w:line="360" w:lineRule="auto"/>
        <w:rPr>
          <w:b/>
          <w:color w:val="000000"/>
          <w:sz w:val="24"/>
        </w:rPr>
      </w:pPr>
      <w:r>
        <w:rPr>
          <w:rFonts w:hint="eastAsia"/>
          <w:b/>
          <w:color w:val="000000"/>
          <w:sz w:val="24"/>
        </w:rPr>
        <w:t>鉴证日期：</w:t>
      </w:r>
    </w:p>
    <w:p>
      <w:pPr>
        <w:rPr>
          <w:color w:val="000000"/>
        </w:rPr>
      </w:pPr>
    </w:p>
    <w:p>
      <w:pPr>
        <w:rPr>
          <w:color w:val="000000"/>
        </w:rPr>
      </w:pPr>
    </w:p>
    <w:p>
      <w:pPr>
        <w:ind w:firstLine="6405" w:firstLineChars="3050"/>
        <w:rPr>
          <w:color w:val="000000"/>
        </w:rPr>
      </w:pPr>
      <w:r>
        <w:rPr>
          <w:rFonts w:hint="eastAsia"/>
          <w:color w:val="000000"/>
        </w:rPr>
        <w:t>签署地：浙江衢州</w:t>
      </w:r>
    </w:p>
    <w:p>
      <w:pPr>
        <w:rPr>
          <w:color w:val="000000"/>
        </w:rPr>
      </w:pPr>
    </w:p>
    <w:p>
      <w:pPr>
        <w:rPr>
          <w:color w:val="000000"/>
        </w:rPr>
      </w:pPr>
      <w:r>
        <w:rPr>
          <w:rFonts w:hint="eastAsia"/>
          <w:color w:val="000000"/>
        </w:rPr>
        <w:t>上述产权交易合同内容本竞买人已阅读，并同意遵照执行。</w:t>
      </w:r>
    </w:p>
    <w:p>
      <w:pPr>
        <w:ind w:right="840" w:firstLine="4935" w:firstLineChars="2350"/>
        <w:rPr>
          <w:color w:val="000000"/>
        </w:rPr>
      </w:pPr>
    </w:p>
    <w:p>
      <w:pPr>
        <w:ind w:right="840" w:firstLine="4935" w:firstLineChars="2350"/>
        <w:rPr>
          <w:color w:val="000000"/>
        </w:rPr>
      </w:pPr>
    </w:p>
    <w:p>
      <w:pPr>
        <w:ind w:right="840" w:firstLine="4305" w:firstLineChars="2050"/>
        <w:rPr>
          <w:color w:val="000000"/>
        </w:rPr>
      </w:pPr>
      <w:r>
        <w:rPr>
          <w:rFonts w:hint="eastAsia"/>
          <w:color w:val="000000"/>
        </w:rPr>
        <w:t xml:space="preserve">竞买人（签字盖章）： </w:t>
      </w:r>
    </w:p>
    <w:p>
      <w:pPr>
        <w:ind w:right="210"/>
        <w:jc w:val="right"/>
        <w:rPr>
          <w:color w:val="000000"/>
        </w:rPr>
      </w:pPr>
      <w:r>
        <w:rPr>
          <w:rFonts w:hint="eastAsia"/>
          <w:color w:val="000000"/>
        </w:rPr>
        <w:t xml:space="preserve">日期：   年    月    日     </w:t>
      </w:r>
    </w:p>
    <w:sectPr>
      <w:headerReference r:id="rId3" w:type="default"/>
      <w:footerReference r:id="rId4" w:type="default"/>
      <w:pgSz w:w="11907" w:h="16840"/>
      <w:pgMar w:top="1735" w:right="1701" w:bottom="1134" w:left="1985" w:header="851" w:footer="992" w:gutter="0"/>
      <w:cols w:space="425" w:num="1"/>
      <w:docGrid w:type="linesAndChars" w:linePitch="34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Narrow">
    <w:altName w:val="Arial"/>
    <w:panose1 w:val="00000000000000000000"/>
    <w:charset w:val="00"/>
    <w:family w:val="swiss"/>
    <w:pitch w:val="default"/>
    <w:sig w:usb0="00000000"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姚体">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23</w:t>
    </w:r>
    <w:r>
      <w:rPr>
        <w:lang w:val="zh-CN"/>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01F0"/>
    <w:multiLevelType w:val="multilevel"/>
    <w:tmpl w:val="021801F0"/>
    <w:lvl w:ilvl="0" w:tentative="0">
      <w:start w:val="1"/>
      <w:numFmt w:val="decimal"/>
      <w:lvlText w:val="%1."/>
      <w:lvlJc w:val="left"/>
      <w:pPr>
        <w:tabs>
          <w:tab w:val="left" w:pos="874"/>
        </w:tabs>
        <w:ind w:left="0" w:firstLine="454"/>
      </w:pPr>
      <w:rPr>
        <w:rFonts w:hint="default"/>
      </w:rPr>
    </w:lvl>
    <w:lvl w:ilvl="1" w:tentative="0">
      <w:start w:val="1"/>
      <w:numFmt w:val="lowerLetter"/>
      <w:lvlText w:val="%2)"/>
      <w:lvlJc w:val="left"/>
      <w:pPr>
        <w:tabs>
          <w:tab w:val="left" w:pos="1294"/>
        </w:tabs>
        <w:ind w:left="1294" w:hanging="420"/>
      </w:pPr>
    </w:lvl>
    <w:lvl w:ilvl="2" w:tentative="0">
      <w:start w:val="1"/>
      <w:numFmt w:val="lowerRoman"/>
      <w:lvlText w:val="%3."/>
      <w:lvlJc w:val="right"/>
      <w:pPr>
        <w:tabs>
          <w:tab w:val="left" w:pos="1714"/>
        </w:tabs>
        <w:ind w:left="1714" w:hanging="420"/>
      </w:pPr>
    </w:lvl>
    <w:lvl w:ilvl="3" w:tentative="0">
      <w:start w:val="1"/>
      <w:numFmt w:val="decimal"/>
      <w:lvlText w:val="%4."/>
      <w:lvlJc w:val="left"/>
      <w:pPr>
        <w:tabs>
          <w:tab w:val="left" w:pos="2134"/>
        </w:tabs>
        <w:ind w:left="2134" w:hanging="420"/>
      </w:pPr>
    </w:lvl>
    <w:lvl w:ilvl="4" w:tentative="0">
      <w:start w:val="1"/>
      <w:numFmt w:val="lowerLetter"/>
      <w:lvlText w:val="%5)"/>
      <w:lvlJc w:val="left"/>
      <w:pPr>
        <w:tabs>
          <w:tab w:val="left" w:pos="2554"/>
        </w:tabs>
        <w:ind w:left="2554" w:hanging="420"/>
      </w:pPr>
    </w:lvl>
    <w:lvl w:ilvl="5" w:tentative="0">
      <w:start w:val="1"/>
      <w:numFmt w:val="lowerRoman"/>
      <w:lvlText w:val="%6."/>
      <w:lvlJc w:val="right"/>
      <w:pPr>
        <w:tabs>
          <w:tab w:val="left" w:pos="2974"/>
        </w:tabs>
        <w:ind w:left="2974" w:hanging="420"/>
      </w:pPr>
    </w:lvl>
    <w:lvl w:ilvl="6" w:tentative="0">
      <w:start w:val="1"/>
      <w:numFmt w:val="decimal"/>
      <w:lvlText w:val="%7."/>
      <w:lvlJc w:val="left"/>
      <w:pPr>
        <w:tabs>
          <w:tab w:val="left" w:pos="3394"/>
        </w:tabs>
        <w:ind w:left="3394" w:hanging="420"/>
      </w:pPr>
    </w:lvl>
    <w:lvl w:ilvl="7" w:tentative="0">
      <w:start w:val="1"/>
      <w:numFmt w:val="lowerLetter"/>
      <w:lvlText w:val="%8)"/>
      <w:lvlJc w:val="left"/>
      <w:pPr>
        <w:tabs>
          <w:tab w:val="left" w:pos="3814"/>
        </w:tabs>
        <w:ind w:left="3814" w:hanging="420"/>
      </w:pPr>
    </w:lvl>
    <w:lvl w:ilvl="8" w:tentative="0">
      <w:start w:val="1"/>
      <w:numFmt w:val="lowerRoman"/>
      <w:lvlText w:val="%9."/>
      <w:lvlJc w:val="right"/>
      <w:pPr>
        <w:tabs>
          <w:tab w:val="left" w:pos="4234"/>
        </w:tabs>
        <w:ind w:left="4234" w:hanging="420"/>
      </w:pPr>
    </w:lvl>
  </w:abstractNum>
  <w:abstractNum w:abstractNumId="1">
    <w:nsid w:val="0C41501A"/>
    <w:multiLevelType w:val="multilevel"/>
    <w:tmpl w:val="0C41501A"/>
    <w:lvl w:ilvl="0" w:tentative="0">
      <w:start w:val="1"/>
      <w:numFmt w:val="decimal"/>
      <w:lvlText w:val="%1"/>
      <w:lvlJc w:val="left"/>
      <w:pPr>
        <w:tabs>
          <w:tab w:val="left" w:pos="432"/>
        </w:tabs>
        <w:ind w:left="432" w:hanging="432"/>
      </w:pPr>
      <w:rPr>
        <w:b/>
        <w:i w:val="0"/>
        <w:sz w:val="28"/>
        <w:lang w:val="en-US"/>
      </w:rPr>
    </w:lvl>
    <w:lvl w:ilvl="1" w:tentative="0">
      <w:start w:val="1"/>
      <w:numFmt w:val="decimal"/>
      <w:pStyle w:val="3"/>
      <w:lvlText w:val="%1.%2"/>
      <w:lvlJc w:val="left"/>
      <w:pPr>
        <w:tabs>
          <w:tab w:val="left" w:pos="576"/>
        </w:tabs>
        <w:ind w:left="576" w:hanging="576"/>
      </w:pPr>
      <w:rPr>
        <w:b w:val="0"/>
      </w:rPr>
    </w:lvl>
    <w:lvl w:ilvl="2" w:tentative="0">
      <w:start w:val="1"/>
      <w:numFmt w:val="decimal"/>
      <w:pStyle w:val="5"/>
      <w:lvlText w:val="%1.%2.%3"/>
      <w:lvlJc w:val="left"/>
      <w:pPr>
        <w:tabs>
          <w:tab w:val="left" w:pos="720"/>
        </w:tabs>
        <w:ind w:left="720" w:hanging="720"/>
      </w:pPr>
      <w:rPr>
        <w:b w:val="0"/>
      </w:rPr>
    </w:lvl>
    <w:lvl w:ilvl="3" w:tentative="0">
      <w:start w:val="1"/>
      <w:numFmt w:val="decimal"/>
      <w:lvlText w:val="%1.%2.%3.%4"/>
      <w:lvlJc w:val="left"/>
      <w:pPr>
        <w:tabs>
          <w:tab w:val="left" w:pos="2664"/>
        </w:tabs>
        <w:ind w:left="26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103045F9"/>
    <w:multiLevelType w:val="multilevel"/>
    <w:tmpl w:val="103045F9"/>
    <w:lvl w:ilvl="0" w:tentative="0">
      <w:start w:val="1"/>
      <w:numFmt w:val="japaneseCounting"/>
      <w:lvlText w:val="%1、"/>
      <w:lvlJc w:val="left"/>
      <w:pPr>
        <w:tabs>
          <w:tab w:val="left" w:pos="1130"/>
        </w:tabs>
        <w:ind w:left="1130" w:hanging="420"/>
      </w:pPr>
      <w:rPr>
        <w:rFonts w:hint="default"/>
        <w:color w:val="000000"/>
      </w:rPr>
    </w:lvl>
    <w:lvl w:ilvl="1" w:tentative="0">
      <w:start w:val="2008"/>
      <w:numFmt w:val="decimal"/>
      <w:lvlText w:val="%2年"/>
      <w:lvlJc w:val="left"/>
      <w:pPr>
        <w:tabs>
          <w:tab w:val="left" w:pos="1980"/>
        </w:tabs>
        <w:ind w:left="1980" w:hanging="900"/>
      </w:pPr>
      <w:rPr>
        <w:rFonts w:hint="default"/>
      </w:rPr>
    </w:lvl>
    <w:lvl w:ilvl="2" w:tentative="0">
      <w:start w:val="1"/>
      <w:numFmt w:val="japaneseCounting"/>
      <w:lvlText w:val="（%3）"/>
      <w:lvlJc w:val="left"/>
      <w:pPr>
        <w:tabs>
          <w:tab w:val="left" w:pos="2880"/>
        </w:tabs>
        <w:ind w:left="2880" w:hanging="720"/>
      </w:pPr>
      <w:rPr>
        <w:rFonts w:hint="default"/>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34B697F"/>
    <w:multiLevelType w:val="multilevel"/>
    <w:tmpl w:val="134B697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470339E"/>
    <w:multiLevelType w:val="multilevel"/>
    <w:tmpl w:val="1470339E"/>
    <w:lvl w:ilvl="0" w:tentative="0">
      <w:start w:val="1"/>
      <w:numFmt w:val="decimal"/>
      <w:lvlText w:val="%1、"/>
      <w:lvlJc w:val="left"/>
      <w:pPr>
        <w:tabs>
          <w:tab w:val="left" w:pos="473"/>
        </w:tabs>
        <w:ind w:left="-94" w:firstLine="454"/>
      </w:pPr>
      <w:rPr>
        <w:rFonts w:hint="eastAsia"/>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B0C528C"/>
    <w:multiLevelType w:val="multilevel"/>
    <w:tmpl w:val="1B0C528C"/>
    <w:lvl w:ilvl="0" w:tentative="0">
      <w:start w:val="1"/>
      <w:numFmt w:val="decimal"/>
      <w:lvlText w:val="（%1）"/>
      <w:lvlJc w:val="left"/>
      <w:pPr>
        <w:tabs>
          <w:tab w:val="left" w:pos="567"/>
        </w:tabs>
        <w:ind w:left="0" w:firstLine="454"/>
      </w:pPr>
      <w:rPr>
        <w:rFonts w:hint="default" w:ascii="宋体" w:hAnsi="宋体" w:eastAsia="宋体"/>
        <w:b w:val="0"/>
        <w:color w:val="00000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1E800A3"/>
    <w:multiLevelType w:val="multilevel"/>
    <w:tmpl w:val="21E800A3"/>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chineseCountingThousand"/>
      <w:lvlText w:val="(%3)"/>
      <w:lvlJc w:val="left"/>
      <w:pPr>
        <w:ind w:left="0" w:firstLine="397"/>
      </w:pPr>
      <w:rPr>
        <w:rFonts w:hint="eastAsia"/>
        <w:b w:val="0"/>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25F15770"/>
    <w:multiLevelType w:val="multilevel"/>
    <w:tmpl w:val="25F15770"/>
    <w:lvl w:ilvl="0" w:tentative="0">
      <w:start w:val="1"/>
      <w:numFmt w:val="koreanDigital2"/>
      <w:pStyle w:val="33"/>
      <w:suff w:val="space"/>
      <w:lvlText w:val="第%1条"/>
      <w:lvlJc w:val="left"/>
      <w:pPr>
        <w:ind w:left="0" w:firstLine="0"/>
      </w:pPr>
      <w:rPr>
        <w:rFonts w:hint="eastAsia" w:ascii="宋体" w:hAnsi="宋体"/>
        <w:b/>
        <w:i w:val="0"/>
        <w:caps/>
        <w:smallCaps w:val="0"/>
        <w:strike w:val="0"/>
        <w:dstrike w:val="0"/>
        <w:outline w:val="0"/>
        <w:shadow w:val="0"/>
        <w:emboss w:val="0"/>
        <w:imprint w:val="0"/>
        <w:vanish w:val="0"/>
        <w:sz w:val="24"/>
        <w:szCs w:val="24"/>
        <w:u w:val="none"/>
        <w:vertAlign w:val="baseline"/>
      </w:rPr>
    </w:lvl>
    <w:lvl w:ilvl="1" w:tentative="0">
      <w:start w:val="1"/>
      <w:numFmt w:val="decimalZero"/>
      <w:pStyle w:val="34"/>
      <w:isLgl/>
      <w:lvlText w:val="%1.%2"/>
      <w:lvlJc w:val="left"/>
      <w:pPr>
        <w:tabs>
          <w:tab w:val="left" w:pos="720"/>
        </w:tabs>
        <w:ind w:left="0" w:firstLine="1440"/>
      </w:pPr>
      <w:rPr>
        <w:rFonts w:hint="default"/>
        <w:b w:val="0"/>
        <w:i w:val="0"/>
        <w:caps w:val="0"/>
        <w:strike w:val="0"/>
        <w:dstrike w:val="0"/>
        <w:outline w:val="0"/>
        <w:shadow w:val="0"/>
        <w:emboss w:val="0"/>
        <w:imprint w:val="0"/>
        <w:vanish w:val="0"/>
        <w:u w:val="none"/>
        <w:vertAlign w:val="baseline"/>
      </w:rPr>
    </w:lvl>
    <w:lvl w:ilvl="2" w:tentative="0">
      <w:start w:val="1"/>
      <w:numFmt w:val="lowerLetter"/>
      <w:pStyle w:val="35"/>
      <w:lvlText w:val="(%3)"/>
      <w:lvlJc w:val="left"/>
      <w:pPr>
        <w:tabs>
          <w:tab w:val="left" w:pos="1440"/>
        </w:tabs>
        <w:ind w:left="0" w:firstLine="720"/>
      </w:pPr>
      <w:rPr>
        <w:rFonts w:hint="default"/>
        <w:b w:val="0"/>
        <w:i w:val="0"/>
        <w:caps w:val="0"/>
        <w:strike w:val="0"/>
        <w:dstrike w:val="0"/>
        <w:outline w:val="0"/>
        <w:shadow w:val="0"/>
        <w:emboss w:val="0"/>
        <w:imprint w:val="0"/>
        <w:vanish w:val="0"/>
        <w:u w:val="none"/>
        <w:vertAlign w:val="baseline"/>
      </w:rPr>
    </w:lvl>
    <w:lvl w:ilvl="3" w:tentative="0">
      <w:start w:val="1"/>
      <w:numFmt w:val="lowerRoman"/>
      <w:pStyle w:val="36"/>
      <w:lvlText w:val="(%4)"/>
      <w:lvlJc w:val="left"/>
      <w:pPr>
        <w:tabs>
          <w:tab w:val="left" w:pos="2160"/>
        </w:tabs>
        <w:ind w:left="720" w:firstLine="720"/>
      </w:pPr>
      <w:rPr>
        <w:rFonts w:hint="default"/>
        <w:b w:val="0"/>
        <w:i w:val="0"/>
        <w:caps w:val="0"/>
        <w:strike w:val="0"/>
        <w:dstrike w:val="0"/>
        <w:outline w:val="0"/>
        <w:shadow w:val="0"/>
        <w:emboss w:val="0"/>
        <w:imprint w:val="0"/>
        <w:vanish w:val="0"/>
        <w:u w:val="none"/>
        <w:vertAlign w:val="baseline"/>
      </w:rPr>
    </w:lvl>
    <w:lvl w:ilvl="4" w:tentative="0">
      <w:start w:val="1"/>
      <w:numFmt w:val="ordinalText"/>
      <w:pStyle w:val="37"/>
      <w:suff w:val="space"/>
      <w:lvlText w:val="%5:"/>
      <w:lvlJc w:val="left"/>
      <w:pPr>
        <w:ind w:left="720" w:firstLine="720"/>
      </w:pPr>
      <w:rPr>
        <w:rFonts w:hint="default"/>
        <w:b w:val="0"/>
        <w:i w:val="0"/>
        <w:caps w:val="0"/>
        <w:strike w:val="0"/>
        <w:dstrike w:val="0"/>
        <w:outline w:val="0"/>
        <w:shadow w:val="0"/>
        <w:emboss w:val="0"/>
        <w:imprint w:val="0"/>
        <w:vanish w:val="0"/>
        <w:u w:val="none"/>
        <w:vertAlign w:val="baseline"/>
      </w:rPr>
    </w:lvl>
    <w:lvl w:ilvl="5" w:tentative="0">
      <w:start w:val="1"/>
      <w:numFmt w:val="none"/>
      <w:lvlText w:val=""/>
      <w:lvlJc w:val="left"/>
      <w:pPr>
        <w:tabs>
          <w:tab w:val="left" w:pos="720"/>
        </w:tabs>
        <w:ind w:left="0" w:firstLine="0"/>
      </w:pPr>
      <w:rPr>
        <w:rFonts w:hint="default"/>
        <w:b w:val="0"/>
        <w:i w:val="0"/>
        <w:caps w:val="0"/>
        <w:strike w:val="0"/>
        <w:dstrike w:val="0"/>
        <w:outline w:val="0"/>
        <w:shadow w:val="0"/>
        <w:emboss w:val="0"/>
        <w:imprint w:val="0"/>
        <w:vanish w:val="0"/>
        <w:u w:val="none"/>
        <w:vertAlign w:val="baseline"/>
      </w:rPr>
    </w:lvl>
    <w:lvl w:ilvl="6" w:tentative="0">
      <w:start w:val="1"/>
      <w:numFmt w:val="none"/>
      <w:lvlText w:val=""/>
      <w:lvlJc w:val="left"/>
      <w:pPr>
        <w:tabs>
          <w:tab w:val="left" w:pos="720"/>
        </w:tabs>
        <w:ind w:left="0" w:firstLine="0"/>
      </w:pPr>
      <w:rPr>
        <w:rFonts w:hint="default"/>
        <w:b w:val="0"/>
        <w:i w:val="0"/>
        <w:caps w:val="0"/>
        <w:strike w:val="0"/>
        <w:dstrike w:val="0"/>
        <w:outline w:val="0"/>
        <w:shadow w:val="0"/>
        <w:emboss w:val="0"/>
        <w:imprint w:val="0"/>
        <w:vanish w:val="0"/>
        <w:u w:val="none"/>
        <w:vertAlign w:val="baseline"/>
      </w:rPr>
    </w:lvl>
    <w:lvl w:ilvl="7" w:tentative="0">
      <w:start w:val="1"/>
      <w:numFmt w:val="none"/>
      <w:lvlText w:val=""/>
      <w:lvlJc w:val="left"/>
      <w:pPr>
        <w:tabs>
          <w:tab w:val="left" w:pos="720"/>
        </w:tabs>
        <w:ind w:left="0" w:firstLine="0"/>
      </w:pPr>
      <w:rPr>
        <w:rFonts w:hint="default"/>
        <w:b w:val="0"/>
        <w:i w:val="0"/>
        <w:caps w:val="0"/>
        <w:strike w:val="0"/>
        <w:dstrike w:val="0"/>
        <w:outline w:val="0"/>
        <w:shadow w:val="0"/>
        <w:emboss w:val="0"/>
        <w:imprint w:val="0"/>
        <w:vanish w:val="0"/>
        <w:u w:val="none"/>
        <w:vertAlign w:val="baseline"/>
      </w:rPr>
    </w:lvl>
    <w:lvl w:ilvl="8" w:tentative="0">
      <w:start w:val="1"/>
      <w:numFmt w:val="none"/>
      <w:lvlText w:val=""/>
      <w:lvlJc w:val="left"/>
      <w:pPr>
        <w:tabs>
          <w:tab w:val="left" w:pos="720"/>
        </w:tabs>
        <w:ind w:left="0" w:firstLine="0"/>
      </w:pPr>
      <w:rPr>
        <w:rFonts w:hint="default"/>
        <w:b w:val="0"/>
        <w:i w:val="0"/>
        <w:caps w:val="0"/>
        <w:strike w:val="0"/>
        <w:dstrike w:val="0"/>
        <w:outline w:val="0"/>
        <w:shadow w:val="0"/>
        <w:emboss w:val="0"/>
        <w:imprint w:val="0"/>
        <w:vanish w:val="0"/>
        <w:u w:val="none"/>
        <w:vertAlign w:val="baseline"/>
      </w:rPr>
    </w:lvl>
  </w:abstractNum>
  <w:abstractNum w:abstractNumId="8">
    <w:nsid w:val="261A61EB"/>
    <w:multiLevelType w:val="multilevel"/>
    <w:tmpl w:val="261A61EB"/>
    <w:lvl w:ilvl="0" w:tentative="0">
      <w:start w:val="1"/>
      <w:numFmt w:val="chineseCountingThousand"/>
      <w:lvlText w:val="%1、"/>
      <w:lvlJc w:val="left"/>
      <w:pPr>
        <w:tabs>
          <w:tab w:val="left" w:pos="420"/>
        </w:tabs>
        <w:ind w:left="0" w:firstLine="397"/>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9">
    <w:nsid w:val="2FA51520"/>
    <w:multiLevelType w:val="multilevel"/>
    <w:tmpl w:val="2FA51520"/>
    <w:lvl w:ilvl="0" w:tentative="0">
      <w:start w:val="1"/>
      <w:numFmt w:val="decimal"/>
      <w:lvlText w:val="（%1）"/>
      <w:lvlJc w:val="left"/>
      <w:pPr>
        <w:tabs>
          <w:tab w:val="left" w:pos="817"/>
        </w:tabs>
        <w:ind w:left="0" w:firstLine="420"/>
      </w:pPr>
      <w:rPr>
        <w:rFonts w:hint="eastAsia" w:ascii="宋体" w:hAnsi="宋体" w:eastAsia="宋体" w:cs="Times New Roman"/>
        <w:color w:val="000000"/>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33F90F28"/>
    <w:multiLevelType w:val="multilevel"/>
    <w:tmpl w:val="33F90F28"/>
    <w:lvl w:ilvl="0" w:tentative="0">
      <w:start w:val="1"/>
      <w:numFmt w:val="decimal"/>
      <w:lvlText w:val="（%1）"/>
      <w:lvlJc w:val="left"/>
      <w:pPr>
        <w:tabs>
          <w:tab w:val="left" w:pos="567"/>
        </w:tabs>
        <w:ind w:left="0" w:firstLine="454"/>
      </w:pPr>
      <w:rPr>
        <w:rFonts w:hint="default" w:ascii="宋体" w:hAnsi="宋体" w:eastAsia="宋体"/>
        <w:b w:val="0"/>
        <w:color w:val="00000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CB649C7"/>
    <w:multiLevelType w:val="multilevel"/>
    <w:tmpl w:val="3CB649C7"/>
    <w:lvl w:ilvl="0" w:tentative="0">
      <w:start w:val="1"/>
      <w:numFmt w:val="decimal"/>
      <w:lvlText w:val="%1."/>
      <w:lvlJc w:val="left"/>
      <w:pPr>
        <w:ind w:left="0" w:firstLine="420"/>
      </w:pPr>
      <w:rPr>
        <w:rFonts w:hint="default"/>
        <w:b w:val="0"/>
        <w:color w:val="000000"/>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45E76BF8"/>
    <w:multiLevelType w:val="singleLevel"/>
    <w:tmpl w:val="45E76BF8"/>
    <w:lvl w:ilvl="0" w:tentative="0">
      <w:start w:val="1"/>
      <w:numFmt w:val="upperLetter"/>
      <w:pStyle w:val="2"/>
      <w:lvlText w:val="%1、"/>
      <w:lvlJc w:val="left"/>
      <w:pPr>
        <w:tabs>
          <w:tab w:val="left" w:pos="1410"/>
        </w:tabs>
        <w:ind w:left="1410" w:hanging="420"/>
      </w:pPr>
      <w:rPr>
        <w:rFonts w:hint="eastAsia"/>
      </w:rPr>
    </w:lvl>
  </w:abstractNum>
  <w:abstractNum w:abstractNumId="13">
    <w:nsid w:val="48BC0C38"/>
    <w:multiLevelType w:val="multilevel"/>
    <w:tmpl w:val="48BC0C38"/>
    <w:lvl w:ilvl="0" w:tentative="0">
      <w:start w:val="1"/>
      <w:numFmt w:val="chineseCountingThousand"/>
      <w:lvlText w:val="(%1)"/>
      <w:lvlJc w:val="left"/>
      <w:pPr>
        <w:ind w:left="0" w:firstLine="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AA84750"/>
    <w:multiLevelType w:val="multilevel"/>
    <w:tmpl w:val="4AA84750"/>
    <w:lvl w:ilvl="0" w:tentative="0">
      <w:start w:val="1"/>
      <w:numFmt w:val="decimal"/>
      <w:lvlText w:val="%1."/>
      <w:lvlJc w:val="left"/>
      <w:pPr>
        <w:tabs>
          <w:tab w:val="left" w:pos="874"/>
        </w:tabs>
        <w:ind w:left="0" w:firstLine="454"/>
      </w:pPr>
      <w:rPr>
        <w:rFonts w:hint="default"/>
      </w:rPr>
    </w:lvl>
    <w:lvl w:ilvl="1" w:tentative="0">
      <w:start w:val="1"/>
      <w:numFmt w:val="lowerLetter"/>
      <w:lvlText w:val="%2)"/>
      <w:lvlJc w:val="left"/>
      <w:pPr>
        <w:tabs>
          <w:tab w:val="left" w:pos="1294"/>
        </w:tabs>
        <w:ind w:left="1294" w:hanging="420"/>
      </w:pPr>
    </w:lvl>
    <w:lvl w:ilvl="2" w:tentative="0">
      <w:start w:val="1"/>
      <w:numFmt w:val="lowerRoman"/>
      <w:lvlText w:val="%3."/>
      <w:lvlJc w:val="right"/>
      <w:pPr>
        <w:tabs>
          <w:tab w:val="left" w:pos="1714"/>
        </w:tabs>
        <w:ind w:left="1714" w:hanging="420"/>
      </w:pPr>
    </w:lvl>
    <w:lvl w:ilvl="3" w:tentative="0">
      <w:start w:val="1"/>
      <w:numFmt w:val="decimal"/>
      <w:lvlText w:val="%4."/>
      <w:lvlJc w:val="left"/>
      <w:pPr>
        <w:tabs>
          <w:tab w:val="left" w:pos="2134"/>
        </w:tabs>
        <w:ind w:left="2134" w:hanging="420"/>
      </w:pPr>
    </w:lvl>
    <w:lvl w:ilvl="4" w:tentative="0">
      <w:start w:val="1"/>
      <w:numFmt w:val="lowerLetter"/>
      <w:lvlText w:val="%5)"/>
      <w:lvlJc w:val="left"/>
      <w:pPr>
        <w:tabs>
          <w:tab w:val="left" w:pos="2554"/>
        </w:tabs>
        <w:ind w:left="2554" w:hanging="420"/>
      </w:pPr>
    </w:lvl>
    <w:lvl w:ilvl="5" w:tentative="0">
      <w:start w:val="1"/>
      <w:numFmt w:val="lowerRoman"/>
      <w:lvlText w:val="%6."/>
      <w:lvlJc w:val="right"/>
      <w:pPr>
        <w:tabs>
          <w:tab w:val="left" w:pos="2974"/>
        </w:tabs>
        <w:ind w:left="2974" w:hanging="420"/>
      </w:pPr>
    </w:lvl>
    <w:lvl w:ilvl="6" w:tentative="0">
      <w:start w:val="1"/>
      <w:numFmt w:val="decimal"/>
      <w:lvlText w:val="%7."/>
      <w:lvlJc w:val="left"/>
      <w:pPr>
        <w:tabs>
          <w:tab w:val="left" w:pos="3394"/>
        </w:tabs>
        <w:ind w:left="3394" w:hanging="420"/>
      </w:pPr>
    </w:lvl>
    <w:lvl w:ilvl="7" w:tentative="0">
      <w:start w:val="1"/>
      <w:numFmt w:val="lowerLetter"/>
      <w:lvlText w:val="%8)"/>
      <w:lvlJc w:val="left"/>
      <w:pPr>
        <w:tabs>
          <w:tab w:val="left" w:pos="3814"/>
        </w:tabs>
        <w:ind w:left="3814" w:hanging="420"/>
      </w:pPr>
    </w:lvl>
    <w:lvl w:ilvl="8" w:tentative="0">
      <w:start w:val="1"/>
      <w:numFmt w:val="lowerRoman"/>
      <w:lvlText w:val="%9."/>
      <w:lvlJc w:val="right"/>
      <w:pPr>
        <w:tabs>
          <w:tab w:val="left" w:pos="4234"/>
        </w:tabs>
        <w:ind w:left="4234" w:hanging="420"/>
      </w:pPr>
    </w:lvl>
  </w:abstractNum>
  <w:abstractNum w:abstractNumId="15">
    <w:nsid w:val="4DE2150E"/>
    <w:multiLevelType w:val="multilevel"/>
    <w:tmpl w:val="4DE2150E"/>
    <w:lvl w:ilvl="0" w:tentative="0">
      <w:start w:val="1"/>
      <w:numFmt w:val="decimal"/>
      <w:lvlText w:val="%1."/>
      <w:lvlJc w:val="left"/>
      <w:pPr>
        <w:ind w:left="0" w:firstLine="510"/>
      </w:pPr>
      <w:rPr>
        <w:rFonts w:hint="default"/>
        <w:b w:val="0"/>
        <w:color w:val="000000"/>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4E68286C"/>
    <w:multiLevelType w:val="multilevel"/>
    <w:tmpl w:val="4E68286C"/>
    <w:lvl w:ilvl="0" w:tentative="0">
      <w:start w:val="1"/>
      <w:numFmt w:val="chineseCountingThousand"/>
      <w:lvlText w:val="（%1）、"/>
      <w:lvlJc w:val="left"/>
      <w:pPr>
        <w:tabs>
          <w:tab w:val="left" w:pos="851"/>
        </w:tabs>
        <w:ind w:left="0" w:firstLine="340"/>
      </w:pPr>
      <w:rPr>
        <w:rFonts w:hint="default" w:ascii="宋体" w:hAnsi="宋体" w:eastAsia="宋体"/>
        <w:b w:val="0"/>
        <w:color w:val="000000"/>
        <w:sz w:val="21"/>
        <w:szCs w:val="21"/>
      </w:rPr>
    </w:lvl>
    <w:lvl w:ilvl="1" w:tentative="0">
      <w:start w:val="1"/>
      <w:numFmt w:val="decimal"/>
      <w:lvlText w:val="%2."/>
      <w:lvlJc w:val="left"/>
      <w:pPr>
        <w:tabs>
          <w:tab w:val="left" w:pos="680"/>
        </w:tabs>
        <w:ind w:left="0" w:firstLine="454"/>
      </w:pPr>
      <w:rPr>
        <w:rFonts w:hint="default"/>
        <w:b w:val="0"/>
        <w:color w:val="000000"/>
        <w:sz w:val="21"/>
        <w:szCs w:val="21"/>
      </w:rPr>
    </w:lvl>
    <w:lvl w:ilvl="2" w:tentative="0">
      <w:start w:val="2"/>
      <w:numFmt w:val="japaneseCounting"/>
      <w:lvlText w:val="（%3）"/>
      <w:lvlJc w:val="left"/>
      <w:pPr>
        <w:tabs>
          <w:tab w:val="left" w:pos="1560"/>
        </w:tabs>
        <w:ind w:left="1560" w:hanging="720"/>
      </w:pPr>
      <w:rPr>
        <w:rFonts w:hint="default"/>
      </w:rPr>
    </w:lvl>
    <w:lvl w:ilvl="3" w:tentative="0">
      <w:start w:val="2009"/>
      <w:numFmt w:val="decimal"/>
      <w:lvlText w:val="%4年"/>
      <w:lvlJc w:val="left"/>
      <w:pPr>
        <w:tabs>
          <w:tab w:val="left" w:pos="6990"/>
        </w:tabs>
        <w:ind w:left="6990" w:hanging="69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5C8F2680"/>
    <w:multiLevelType w:val="singleLevel"/>
    <w:tmpl w:val="5C8F2680"/>
    <w:lvl w:ilvl="0" w:tentative="0">
      <w:start w:val="7"/>
      <w:numFmt w:val="decimal"/>
      <w:suff w:val="nothing"/>
      <w:lvlText w:val="%1."/>
      <w:lvlJc w:val="left"/>
    </w:lvl>
  </w:abstractNum>
  <w:abstractNum w:abstractNumId="18">
    <w:nsid w:val="5C8F26B0"/>
    <w:multiLevelType w:val="singleLevel"/>
    <w:tmpl w:val="5C8F26B0"/>
    <w:lvl w:ilvl="0" w:tentative="0">
      <w:start w:val="14"/>
      <w:numFmt w:val="decimal"/>
      <w:suff w:val="nothing"/>
      <w:lvlText w:val="%1."/>
      <w:lvlJc w:val="left"/>
    </w:lvl>
  </w:abstractNum>
  <w:abstractNum w:abstractNumId="19">
    <w:nsid w:val="5C8F2737"/>
    <w:multiLevelType w:val="singleLevel"/>
    <w:tmpl w:val="5C8F2737"/>
    <w:lvl w:ilvl="0" w:tentative="0">
      <w:start w:val="1"/>
      <w:numFmt w:val="decimal"/>
      <w:suff w:val="nothing"/>
      <w:lvlText w:val="%1."/>
      <w:lvlJc w:val="left"/>
    </w:lvl>
  </w:abstractNum>
  <w:abstractNum w:abstractNumId="20">
    <w:nsid w:val="5CB2F2CA"/>
    <w:multiLevelType w:val="singleLevel"/>
    <w:tmpl w:val="5CB2F2CA"/>
    <w:lvl w:ilvl="0" w:tentative="0">
      <w:start w:val="5"/>
      <w:numFmt w:val="decimal"/>
      <w:suff w:val="nothing"/>
      <w:lvlText w:val="%1."/>
      <w:lvlJc w:val="left"/>
    </w:lvl>
  </w:abstractNum>
  <w:abstractNum w:abstractNumId="21">
    <w:nsid w:val="5CB2F311"/>
    <w:multiLevelType w:val="singleLevel"/>
    <w:tmpl w:val="5CB2F311"/>
    <w:lvl w:ilvl="0" w:tentative="0">
      <w:start w:val="1"/>
      <w:numFmt w:val="decimal"/>
      <w:suff w:val="nothing"/>
      <w:lvlText w:val="%1."/>
      <w:lvlJc w:val="left"/>
    </w:lvl>
  </w:abstractNum>
  <w:abstractNum w:abstractNumId="22">
    <w:nsid w:val="632F45D9"/>
    <w:multiLevelType w:val="multilevel"/>
    <w:tmpl w:val="632F45D9"/>
    <w:lvl w:ilvl="0" w:tentative="0">
      <w:start w:val="1"/>
      <w:numFmt w:val="decimal"/>
      <w:lvlText w:val="（%1）"/>
      <w:lvlJc w:val="left"/>
      <w:pPr>
        <w:ind w:left="0" w:firstLine="420"/>
      </w:pPr>
      <w:rPr>
        <w:rFonts w:hint="eastAsia" w:ascii="宋体" w:hAnsi="宋体" w:eastAsia="宋体" w:cs="Times New Roman"/>
        <w:color w:val="000000"/>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70733287"/>
    <w:multiLevelType w:val="multilevel"/>
    <w:tmpl w:val="70733287"/>
    <w:lvl w:ilvl="0" w:tentative="0">
      <w:start w:val="1"/>
      <w:numFmt w:val="decimal"/>
      <w:lvlText w:val="%1."/>
      <w:lvlJc w:val="left"/>
      <w:pPr>
        <w:tabs>
          <w:tab w:val="left" w:pos="874"/>
        </w:tabs>
        <w:ind w:left="0" w:firstLine="454"/>
      </w:pPr>
      <w:rPr>
        <w:rFonts w:hint="default"/>
      </w:rPr>
    </w:lvl>
    <w:lvl w:ilvl="1" w:tentative="0">
      <w:start w:val="1"/>
      <w:numFmt w:val="lowerLetter"/>
      <w:lvlText w:val="%2)"/>
      <w:lvlJc w:val="left"/>
      <w:pPr>
        <w:tabs>
          <w:tab w:val="left" w:pos="1294"/>
        </w:tabs>
        <w:ind w:left="1294" w:hanging="420"/>
      </w:pPr>
    </w:lvl>
    <w:lvl w:ilvl="2" w:tentative="0">
      <w:start w:val="1"/>
      <w:numFmt w:val="lowerRoman"/>
      <w:lvlText w:val="%3."/>
      <w:lvlJc w:val="right"/>
      <w:pPr>
        <w:tabs>
          <w:tab w:val="left" w:pos="1714"/>
        </w:tabs>
        <w:ind w:left="1714" w:hanging="420"/>
      </w:pPr>
    </w:lvl>
    <w:lvl w:ilvl="3" w:tentative="0">
      <w:start w:val="1"/>
      <w:numFmt w:val="decimal"/>
      <w:lvlText w:val="%4."/>
      <w:lvlJc w:val="left"/>
      <w:pPr>
        <w:tabs>
          <w:tab w:val="left" w:pos="2134"/>
        </w:tabs>
        <w:ind w:left="2134" w:hanging="420"/>
      </w:pPr>
    </w:lvl>
    <w:lvl w:ilvl="4" w:tentative="0">
      <w:start w:val="1"/>
      <w:numFmt w:val="lowerLetter"/>
      <w:lvlText w:val="%5)"/>
      <w:lvlJc w:val="left"/>
      <w:pPr>
        <w:tabs>
          <w:tab w:val="left" w:pos="2554"/>
        </w:tabs>
        <w:ind w:left="2554" w:hanging="420"/>
      </w:pPr>
    </w:lvl>
    <w:lvl w:ilvl="5" w:tentative="0">
      <w:start w:val="1"/>
      <w:numFmt w:val="lowerRoman"/>
      <w:lvlText w:val="%6."/>
      <w:lvlJc w:val="right"/>
      <w:pPr>
        <w:tabs>
          <w:tab w:val="left" w:pos="2974"/>
        </w:tabs>
        <w:ind w:left="2974" w:hanging="420"/>
      </w:pPr>
    </w:lvl>
    <w:lvl w:ilvl="6" w:tentative="0">
      <w:start w:val="1"/>
      <w:numFmt w:val="decimal"/>
      <w:lvlText w:val="%7."/>
      <w:lvlJc w:val="left"/>
      <w:pPr>
        <w:tabs>
          <w:tab w:val="left" w:pos="3394"/>
        </w:tabs>
        <w:ind w:left="3394" w:hanging="420"/>
      </w:pPr>
    </w:lvl>
    <w:lvl w:ilvl="7" w:tentative="0">
      <w:start w:val="1"/>
      <w:numFmt w:val="lowerLetter"/>
      <w:lvlText w:val="%8)"/>
      <w:lvlJc w:val="left"/>
      <w:pPr>
        <w:tabs>
          <w:tab w:val="left" w:pos="3814"/>
        </w:tabs>
        <w:ind w:left="3814" w:hanging="420"/>
      </w:pPr>
    </w:lvl>
    <w:lvl w:ilvl="8" w:tentative="0">
      <w:start w:val="1"/>
      <w:numFmt w:val="lowerRoman"/>
      <w:lvlText w:val="%9."/>
      <w:lvlJc w:val="right"/>
      <w:pPr>
        <w:tabs>
          <w:tab w:val="left" w:pos="4234"/>
        </w:tabs>
        <w:ind w:left="4234" w:hanging="420"/>
      </w:pPr>
    </w:lvl>
  </w:abstractNum>
  <w:abstractNum w:abstractNumId="24">
    <w:nsid w:val="70F94298"/>
    <w:multiLevelType w:val="multilevel"/>
    <w:tmpl w:val="70F94298"/>
    <w:lvl w:ilvl="0" w:tentative="0">
      <w:start w:val="1"/>
      <w:numFmt w:val="decimal"/>
      <w:lvlText w:val="%1."/>
      <w:lvlJc w:val="left"/>
      <w:pPr>
        <w:tabs>
          <w:tab w:val="left" w:pos="934"/>
        </w:tabs>
        <w:ind w:left="934" w:hanging="574"/>
      </w:pPr>
      <w:rPr>
        <w:rFonts w:hint="default"/>
      </w:rPr>
    </w:lvl>
    <w:lvl w:ilvl="1" w:tentative="0">
      <w:start w:val="1"/>
      <w:numFmt w:val="lowerLetter"/>
      <w:lvlText w:val="%2)"/>
      <w:lvlJc w:val="left"/>
      <w:pPr>
        <w:tabs>
          <w:tab w:val="left" w:pos="640"/>
        </w:tabs>
        <w:ind w:left="640" w:hanging="420"/>
      </w:pPr>
    </w:lvl>
    <w:lvl w:ilvl="2" w:tentative="0">
      <w:start w:val="1"/>
      <w:numFmt w:val="lowerRoman"/>
      <w:lvlText w:val="%3."/>
      <w:lvlJc w:val="right"/>
      <w:pPr>
        <w:tabs>
          <w:tab w:val="left" w:pos="1060"/>
        </w:tabs>
        <w:ind w:left="1060" w:hanging="420"/>
      </w:pPr>
    </w:lvl>
    <w:lvl w:ilvl="3" w:tentative="0">
      <w:start w:val="1"/>
      <w:numFmt w:val="decimal"/>
      <w:lvlText w:val="%4."/>
      <w:lvlJc w:val="left"/>
      <w:pPr>
        <w:tabs>
          <w:tab w:val="left" w:pos="1480"/>
        </w:tabs>
        <w:ind w:left="1480" w:hanging="420"/>
      </w:pPr>
    </w:lvl>
    <w:lvl w:ilvl="4" w:tentative="0">
      <w:start w:val="1"/>
      <w:numFmt w:val="lowerLetter"/>
      <w:lvlText w:val="%5)"/>
      <w:lvlJc w:val="left"/>
      <w:pPr>
        <w:tabs>
          <w:tab w:val="left" w:pos="1900"/>
        </w:tabs>
        <w:ind w:left="1900" w:hanging="420"/>
      </w:pPr>
    </w:lvl>
    <w:lvl w:ilvl="5" w:tentative="0">
      <w:start w:val="1"/>
      <w:numFmt w:val="lowerRoman"/>
      <w:lvlText w:val="%6."/>
      <w:lvlJc w:val="right"/>
      <w:pPr>
        <w:tabs>
          <w:tab w:val="left" w:pos="2320"/>
        </w:tabs>
        <w:ind w:left="2320" w:hanging="420"/>
      </w:pPr>
    </w:lvl>
    <w:lvl w:ilvl="6" w:tentative="0">
      <w:start w:val="1"/>
      <w:numFmt w:val="decimal"/>
      <w:lvlText w:val="%7."/>
      <w:lvlJc w:val="left"/>
      <w:pPr>
        <w:tabs>
          <w:tab w:val="left" w:pos="2740"/>
        </w:tabs>
        <w:ind w:left="2740" w:hanging="420"/>
      </w:pPr>
    </w:lvl>
    <w:lvl w:ilvl="7" w:tentative="0">
      <w:start w:val="1"/>
      <w:numFmt w:val="lowerLetter"/>
      <w:lvlText w:val="%8)"/>
      <w:lvlJc w:val="left"/>
      <w:pPr>
        <w:tabs>
          <w:tab w:val="left" w:pos="3160"/>
        </w:tabs>
        <w:ind w:left="3160" w:hanging="420"/>
      </w:pPr>
    </w:lvl>
    <w:lvl w:ilvl="8" w:tentative="0">
      <w:start w:val="1"/>
      <w:numFmt w:val="lowerRoman"/>
      <w:lvlText w:val="%9."/>
      <w:lvlJc w:val="right"/>
      <w:pPr>
        <w:tabs>
          <w:tab w:val="left" w:pos="3580"/>
        </w:tabs>
        <w:ind w:left="3580" w:hanging="420"/>
      </w:pPr>
    </w:lvl>
  </w:abstractNum>
  <w:abstractNum w:abstractNumId="25">
    <w:nsid w:val="748A33E6"/>
    <w:multiLevelType w:val="multilevel"/>
    <w:tmpl w:val="748A33E6"/>
    <w:lvl w:ilvl="0" w:tentative="0">
      <w:start w:val="1"/>
      <w:numFmt w:val="chineseCountingThousand"/>
      <w:lvlText w:val="（%1）"/>
      <w:lvlJc w:val="left"/>
      <w:pPr>
        <w:ind w:left="1040" w:hanging="420"/>
      </w:pPr>
      <w:rPr>
        <w:rFonts w:hint="default" w:ascii="宋体" w:hAnsi="宋体" w:eastAsia="宋体"/>
        <w:b w:val="0"/>
        <w:color w:val="000000"/>
        <w:sz w:val="21"/>
        <w:szCs w:val="21"/>
      </w:rPr>
    </w:lvl>
    <w:lvl w:ilvl="1" w:tentative="0">
      <w:start w:val="1"/>
      <w:numFmt w:val="lowerLetter"/>
      <w:lvlText w:val="%2)"/>
      <w:lvlJc w:val="left"/>
      <w:pPr>
        <w:ind w:left="1460" w:hanging="420"/>
      </w:pPr>
    </w:lvl>
    <w:lvl w:ilvl="2" w:tentative="0">
      <w:start w:val="1"/>
      <w:numFmt w:val="chineseCountingThousand"/>
      <w:lvlText w:val="（%3）"/>
      <w:lvlJc w:val="left"/>
      <w:pPr>
        <w:ind w:left="0" w:firstLine="567"/>
      </w:pPr>
      <w:rPr>
        <w:rFonts w:hint="default" w:ascii="宋体" w:hAnsi="宋体" w:eastAsia="宋体"/>
        <w:b w:val="0"/>
        <w:color w:val="000000"/>
        <w:sz w:val="21"/>
        <w:szCs w:val="21"/>
      </w:rPr>
    </w:lvl>
    <w:lvl w:ilvl="3" w:tentative="0">
      <w:start w:val="1"/>
      <w:numFmt w:val="decimal"/>
      <w:lvlText w:val="%4."/>
      <w:lvlJc w:val="left"/>
      <w:pPr>
        <w:ind w:left="2300" w:hanging="420"/>
      </w:pPr>
    </w:lvl>
    <w:lvl w:ilvl="4" w:tentative="0">
      <w:start w:val="1"/>
      <w:numFmt w:val="lowerLetter"/>
      <w:lvlText w:val="%5)"/>
      <w:lvlJc w:val="left"/>
      <w:pPr>
        <w:ind w:left="2720" w:hanging="420"/>
      </w:pPr>
    </w:lvl>
    <w:lvl w:ilvl="5" w:tentative="0">
      <w:start w:val="1"/>
      <w:numFmt w:val="lowerRoman"/>
      <w:lvlText w:val="%6."/>
      <w:lvlJc w:val="right"/>
      <w:pPr>
        <w:ind w:left="3140" w:hanging="420"/>
      </w:pPr>
    </w:lvl>
    <w:lvl w:ilvl="6" w:tentative="0">
      <w:start w:val="1"/>
      <w:numFmt w:val="decimal"/>
      <w:lvlText w:val="%7."/>
      <w:lvlJc w:val="left"/>
      <w:pPr>
        <w:ind w:left="3560" w:hanging="420"/>
      </w:pPr>
    </w:lvl>
    <w:lvl w:ilvl="7" w:tentative="0">
      <w:start w:val="1"/>
      <w:numFmt w:val="lowerLetter"/>
      <w:lvlText w:val="%8)"/>
      <w:lvlJc w:val="left"/>
      <w:pPr>
        <w:ind w:left="3980" w:hanging="420"/>
      </w:pPr>
    </w:lvl>
    <w:lvl w:ilvl="8" w:tentative="0">
      <w:start w:val="1"/>
      <w:numFmt w:val="lowerRoman"/>
      <w:lvlText w:val="%9."/>
      <w:lvlJc w:val="right"/>
      <w:pPr>
        <w:ind w:left="4400" w:hanging="420"/>
      </w:pPr>
    </w:lvl>
  </w:abstractNum>
  <w:abstractNum w:abstractNumId="26">
    <w:nsid w:val="75A87A47"/>
    <w:multiLevelType w:val="multilevel"/>
    <w:tmpl w:val="75A87A47"/>
    <w:lvl w:ilvl="0" w:tentative="0">
      <w:start w:val="1"/>
      <w:numFmt w:val="decimal"/>
      <w:lvlText w:val="%1."/>
      <w:lvlJc w:val="left"/>
      <w:pPr>
        <w:tabs>
          <w:tab w:val="left" w:pos="780"/>
        </w:tabs>
        <w:ind w:left="0" w:firstLine="420"/>
      </w:pPr>
      <w:rPr>
        <w:rFonts w:hint="default"/>
        <w:color w:val="000000"/>
      </w:rPr>
    </w:lvl>
    <w:lvl w:ilvl="1" w:tentative="0">
      <w:start w:val="1"/>
      <w:numFmt w:val="chineseCountingThousand"/>
      <w:lvlText w:val="%2、"/>
      <w:lvlJc w:val="left"/>
      <w:pPr>
        <w:tabs>
          <w:tab w:val="left" w:pos="737"/>
        </w:tabs>
        <w:ind w:left="0" w:firstLine="567"/>
      </w:pPr>
      <w:rPr>
        <w:rFonts w:hint="default"/>
        <w:b w:val="0"/>
        <w:color w:val="000000"/>
        <w:sz w:val="28"/>
        <w:szCs w:val="28"/>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784258B4"/>
    <w:multiLevelType w:val="multilevel"/>
    <w:tmpl w:val="784258B4"/>
    <w:lvl w:ilvl="0" w:tentative="0">
      <w:start w:val="1"/>
      <w:numFmt w:val="japaneseCounting"/>
      <w:lvlText w:val="第%1条"/>
      <w:lvlJc w:val="left"/>
      <w:pPr>
        <w:tabs>
          <w:tab w:val="left" w:pos="1140"/>
        </w:tabs>
        <w:ind w:left="1140" w:hanging="720"/>
      </w:pPr>
      <w:rPr>
        <w:rFonts w:hint="eastAsia"/>
        <w:b/>
      </w:rPr>
    </w:lvl>
    <w:lvl w:ilvl="1" w:tentative="0">
      <w:start w:val="1"/>
      <w:numFmt w:val="decimal"/>
      <w:lvlText w:val="%2、"/>
      <w:lvlJc w:val="left"/>
      <w:pPr>
        <w:tabs>
          <w:tab w:val="left" w:pos="1260"/>
        </w:tabs>
        <w:ind w:left="1260" w:hanging="360"/>
      </w:pPr>
      <w:rPr>
        <w:rFonts w:hint="eastAsia"/>
        <w:b w:val="0"/>
        <w:color w:val="000000"/>
      </w:rPr>
    </w:lvl>
    <w:lvl w:ilvl="2" w:tentative="0">
      <w:start w:val="1"/>
      <w:numFmt w:val="decimal"/>
      <w:lvlText w:val="（%3）"/>
      <w:lvlJc w:val="left"/>
      <w:pPr>
        <w:tabs>
          <w:tab w:val="left" w:pos="1980"/>
        </w:tabs>
        <w:ind w:left="1980" w:hanging="720"/>
      </w:pPr>
      <w:rPr>
        <w:rFonts w:hint="eastAsia"/>
      </w:rPr>
    </w:lvl>
    <w:lvl w:ilvl="3" w:tentative="0">
      <w:start w:val="1"/>
      <w:numFmt w:val="decimal"/>
      <w:lvlText w:val="（%4）"/>
      <w:lvlJc w:val="left"/>
      <w:pPr>
        <w:tabs>
          <w:tab w:val="left" w:pos="1620"/>
        </w:tabs>
        <w:ind w:left="1620" w:hanging="360"/>
      </w:pPr>
      <w:rPr>
        <w:rFonts w:hint="default"/>
        <w:color w:val="000000"/>
      </w:r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12"/>
  </w:num>
  <w:num w:numId="2">
    <w:abstractNumId w:val="1"/>
  </w:num>
  <w:num w:numId="3">
    <w:abstractNumId w:val="7"/>
  </w:num>
  <w:num w:numId="4">
    <w:abstractNumId w:val="24"/>
  </w:num>
  <w:num w:numId="5">
    <w:abstractNumId w:val="2"/>
  </w:num>
  <w:num w:numId="6">
    <w:abstractNumId w:val="15"/>
  </w:num>
  <w:num w:numId="7">
    <w:abstractNumId w:val="13"/>
  </w:num>
  <w:num w:numId="8">
    <w:abstractNumId w:val="16"/>
  </w:num>
  <w:num w:numId="9">
    <w:abstractNumId w:val="9"/>
  </w:num>
  <w:num w:numId="10">
    <w:abstractNumId w:val="22"/>
  </w:num>
  <w:num w:numId="11">
    <w:abstractNumId w:val="6"/>
  </w:num>
  <w:num w:numId="12">
    <w:abstractNumId w:val="11"/>
  </w:num>
  <w:num w:numId="13">
    <w:abstractNumId w:val="14"/>
  </w:num>
  <w:num w:numId="14">
    <w:abstractNumId w:val="0"/>
  </w:num>
  <w:num w:numId="15">
    <w:abstractNumId w:val="23"/>
  </w:num>
  <w:num w:numId="16">
    <w:abstractNumId w:val="25"/>
  </w:num>
  <w:num w:numId="17">
    <w:abstractNumId w:val="26"/>
  </w:num>
  <w:num w:numId="18">
    <w:abstractNumId w:val="8"/>
  </w:num>
  <w:num w:numId="19">
    <w:abstractNumId w:val="3"/>
  </w:num>
  <w:num w:numId="20">
    <w:abstractNumId w:val="27"/>
  </w:num>
  <w:num w:numId="21">
    <w:abstractNumId w:val="17"/>
  </w:num>
  <w:num w:numId="22">
    <w:abstractNumId w:val="18"/>
  </w:num>
  <w:num w:numId="23">
    <w:abstractNumId w:val="19"/>
  </w:num>
  <w:num w:numId="24">
    <w:abstractNumId w:val="20"/>
  </w:num>
  <w:num w:numId="25">
    <w:abstractNumId w:val="21"/>
  </w:num>
  <w:num w:numId="26">
    <w:abstractNumId w:val="4"/>
  </w:num>
  <w:num w:numId="27">
    <w:abstractNumId w:val="10"/>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C08F3"/>
    <w:rsid w:val="000002BF"/>
    <w:rsid w:val="00000C77"/>
    <w:rsid w:val="000015EA"/>
    <w:rsid w:val="000018B7"/>
    <w:rsid w:val="000025EA"/>
    <w:rsid w:val="00004178"/>
    <w:rsid w:val="00004216"/>
    <w:rsid w:val="000056D4"/>
    <w:rsid w:val="00005993"/>
    <w:rsid w:val="0000642A"/>
    <w:rsid w:val="0000750E"/>
    <w:rsid w:val="0000768A"/>
    <w:rsid w:val="000079B7"/>
    <w:rsid w:val="00011133"/>
    <w:rsid w:val="00011E20"/>
    <w:rsid w:val="00012DB9"/>
    <w:rsid w:val="00013715"/>
    <w:rsid w:val="00013D5B"/>
    <w:rsid w:val="00014701"/>
    <w:rsid w:val="00015756"/>
    <w:rsid w:val="00017C73"/>
    <w:rsid w:val="00020F10"/>
    <w:rsid w:val="00022278"/>
    <w:rsid w:val="00023B66"/>
    <w:rsid w:val="0002461B"/>
    <w:rsid w:val="00025AD2"/>
    <w:rsid w:val="00026327"/>
    <w:rsid w:val="000267D1"/>
    <w:rsid w:val="00026F7F"/>
    <w:rsid w:val="000307DF"/>
    <w:rsid w:val="00030B62"/>
    <w:rsid w:val="000312BB"/>
    <w:rsid w:val="00034596"/>
    <w:rsid w:val="00034B35"/>
    <w:rsid w:val="00034E5D"/>
    <w:rsid w:val="00035E2B"/>
    <w:rsid w:val="000368BA"/>
    <w:rsid w:val="000408F0"/>
    <w:rsid w:val="00040BF4"/>
    <w:rsid w:val="000411BB"/>
    <w:rsid w:val="000435E8"/>
    <w:rsid w:val="00045490"/>
    <w:rsid w:val="0004598C"/>
    <w:rsid w:val="00046486"/>
    <w:rsid w:val="0004653D"/>
    <w:rsid w:val="00047051"/>
    <w:rsid w:val="00047850"/>
    <w:rsid w:val="00047FE8"/>
    <w:rsid w:val="000500DF"/>
    <w:rsid w:val="000508CD"/>
    <w:rsid w:val="00050BDC"/>
    <w:rsid w:val="00050C5F"/>
    <w:rsid w:val="00051CD1"/>
    <w:rsid w:val="000525A9"/>
    <w:rsid w:val="00053E9F"/>
    <w:rsid w:val="000542E1"/>
    <w:rsid w:val="000549DE"/>
    <w:rsid w:val="0005550A"/>
    <w:rsid w:val="00056406"/>
    <w:rsid w:val="00057CB4"/>
    <w:rsid w:val="00057ED5"/>
    <w:rsid w:val="000603B2"/>
    <w:rsid w:val="000603B5"/>
    <w:rsid w:val="0006066B"/>
    <w:rsid w:val="00060BEF"/>
    <w:rsid w:val="000615AB"/>
    <w:rsid w:val="0006175B"/>
    <w:rsid w:val="00061E27"/>
    <w:rsid w:val="00062685"/>
    <w:rsid w:val="0006424F"/>
    <w:rsid w:val="000648B4"/>
    <w:rsid w:val="0006518D"/>
    <w:rsid w:val="00065A85"/>
    <w:rsid w:val="00066804"/>
    <w:rsid w:val="000674DF"/>
    <w:rsid w:val="000713D2"/>
    <w:rsid w:val="0007230D"/>
    <w:rsid w:val="000723EC"/>
    <w:rsid w:val="00073114"/>
    <w:rsid w:val="0007566C"/>
    <w:rsid w:val="0007594C"/>
    <w:rsid w:val="000769A3"/>
    <w:rsid w:val="00077145"/>
    <w:rsid w:val="00077E5F"/>
    <w:rsid w:val="00081394"/>
    <w:rsid w:val="00083C90"/>
    <w:rsid w:val="00084259"/>
    <w:rsid w:val="00084B60"/>
    <w:rsid w:val="000858B2"/>
    <w:rsid w:val="00085BF2"/>
    <w:rsid w:val="000861A9"/>
    <w:rsid w:val="0008670B"/>
    <w:rsid w:val="0008695A"/>
    <w:rsid w:val="0008706C"/>
    <w:rsid w:val="0008794F"/>
    <w:rsid w:val="0008798F"/>
    <w:rsid w:val="00087EF2"/>
    <w:rsid w:val="00091C39"/>
    <w:rsid w:val="00092E7A"/>
    <w:rsid w:val="00093027"/>
    <w:rsid w:val="00093FC0"/>
    <w:rsid w:val="0009423F"/>
    <w:rsid w:val="00094B99"/>
    <w:rsid w:val="00094E7F"/>
    <w:rsid w:val="00095906"/>
    <w:rsid w:val="00096714"/>
    <w:rsid w:val="00097876"/>
    <w:rsid w:val="000A0F0E"/>
    <w:rsid w:val="000A1138"/>
    <w:rsid w:val="000A2B57"/>
    <w:rsid w:val="000A2D87"/>
    <w:rsid w:val="000A453A"/>
    <w:rsid w:val="000A54F8"/>
    <w:rsid w:val="000A6920"/>
    <w:rsid w:val="000A6B20"/>
    <w:rsid w:val="000A6D0A"/>
    <w:rsid w:val="000B1021"/>
    <w:rsid w:val="000B1E15"/>
    <w:rsid w:val="000B2384"/>
    <w:rsid w:val="000B2674"/>
    <w:rsid w:val="000B4859"/>
    <w:rsid w:val="000B48A9"/>
    <w:rsid w:val="000B55FB"/>
    <w:rsid w:val="000B6434"/>
    <w:rsid w:val="000B66EA"/>
    <w:rsid w:val="000B67E4"/>
    <w:rsid w:val="000B68BA"/>
    <w:rsid w:val="000B6B76"/>
    <w:rsid w:val="000C0903"/>
    <w:rsid w:val="000C1998"/>
    <w:rsid w:val="000C1B18"/>
    <w:rsid w:val="000C20DC"/>
    <w:rsid w:val="000C251A"/>
    <w:rsid w:val="000C2780"/>
    <w:rsid w:val="000C2830"/>
    <w:rsid w:val="000C33FB"/>
    <w:rsid w:val="000C365E"/>
    <w:rsid w:val="000C5013"/>
    <w:rsid w:val="000C5200"/>
    <w:rsid w:val="000C52B9"/>
    <w:rsid w:val="000D0043"/>
    <w:rsid w:val="000D05EC"/>
    <w:rsid w:val="000D145A"/>
    <w:rsid w:val="000D1BE6"/>
    <w:rsid w:val="000D1CCA"/>
    <w:rsid w:val="000D2811"/>
    <w:rsid w:val="000D29A6"/>
    <w:rsid w:val="000D2C02"/>
    <w:rsid w:val="000D37E6"/>
    <w:rsid w:val="000D386D"/>
    <w:rsid w:val="000D3C85"/>
    <w:rsid w:val="000D3E69"/>
    <w:rsid w:val="000D4C28"/>
    <w:rsid w:val="000D4D0A"/>
    <w:rsid w:val="000D5555"/>
    <w:rsid w:val="000D5784"/>
    <w:rsid w:val="000D7A8E"/>
    <w:rsid w:val="000E087E"/>
    <w:rsid w:val="000E1695"/>
    <w:rsid w:val="000E1897"/>
    <w:rsid w:val="000E1FC2"/>
    <w:rsid w:val="000E281B"/>
    <w:rsid w:val="000E398C"/>
    <w:rsid w:val="000E4919"/>
    <w:rsid w:val="000E59A3"/>
    <w:rsid w:val="000E5EAB"/>
    <w:rsid w:val="000E684E"/>
    <w:rsid w:val="000F1043"/>
    <w:rsid w:val="000F1707"/>
    <w:rsid w:val="000F20B2"/>
    <w:rsid w:val="000F31B2"/>
    <w:rsid w:val="000F5567"/>
    <w:rsid w:val="000F5BD0"/>
    <w:rsid w:val="000F650B"/>
    <w:rsid w:val="000F785E"/>
    <w:rsid w:val="000F79A3"/>
    <w:rsid w:val="00100ACE"/>
    <w:rsid w:val="0010187A"/>
    <w:rsid w:val="00101AE3"/>
    <w:rsid w:val="00101FD7"/>
    <w:rsid w:val="001020FB"/>
    <w:rsid w:val="001022B6"/>
    <w:rsid w:val="00103F5E"/>
    <w:rsid w:val="0010603B"/>
    <w:rsid w:val="0010640C"/>
    <w:rsid w:val="00106A9B"/>
    <w:rsid w:val="00107AE9"/>
    <w:rsid w:val="00110403"/>
    <w:rsid w:val="0011139E"/>
    <w:rsid w:val="001113E9"/>
    <w:rsid w:val="00111CDE"/>
    <w:rsid w:val="00112B39"/>
    <w:rsid w:val="00114030"/>
    <w:rsid w:val="001141AA"/>
    <w:rsid w:val="001144BE"/>
    <w:rsid w:val="00115E4A"/>
    <w:rsid w:val="001162DF"/>
    <w:rsid w:val="00116641"/>
    <w:rsid w:val="00116D92"/>
    <w:rsid w:val="00116E2C"/>
    <w:rsid w:val="00120035"/>
    <w:rsid w:val="00120F20"/>
    <w:rsid w:val="0012133A"/>
    <w:rsid w:val="00121F16"/>
    <w:rsid w:val="001229C7"/>
    <w:rsid w:val="00122A89"/>
    <w:rsid w:val="00122B8B"/>
    <w:rsid w:val="00123F8A"/>
    <w:rsid w:val="00124030"/>
    <w:rsid w:val="0012608C"/>
    <w:rsid w:val="00126B09"/>
    <w:rsid w:val="00126D29"/>
    <w:rsid w:val="001275C4"/>
    <w:rsid w:val="00127BDC"/>
    <w:rsid w:val="001302FE"/>
    <w:rsid w:val="001306AE"/>
    <w:rsid w:val="00130E17"/>
    <w:rsid w:val="0013242B"/>
    <w:rsid w:val="00132943"/>
    <w:rsid w:val="00133CC3"/>
    <w:rsid w:val="00134DE7"/>
    <w:rsid w:val="00135C15"/>
    <w:rsid w:val="00135E80"/>
    <w:rsid w:val="0013689B"/>
    <w:rsid w:val="00136D0F"/>
    <w:rsid w:val="00136D9D"/>
    <w:rsid w:val="0014067E"/>
    <w:rsid w:val="00142745"/>
    <w:rsid w:val="00143000"/>
    <w:rsid w:val="001430C2"/>
    <w:rsid w:val="00143B80"/>
    <w:rsid w:val="00143F4B"/>
    <w:rsid w:val="00144243"/>
    <w:rsid w:val="001456E9"/>
    <w:rsid w:val="00145B8B"/>
    <w:rsid w:val="001463E7"/>
    <w:rsid w:val="00150745"/>
    <w:rsid w:val="0015094D"/>
    <w:rsid w:val="001514EE"/>
    <w:rsid w:val="0015160C"/>
    <w:rsid w:val="00151841"/>
    <w:rsid w:val="00151C4A"/>
    <w:rsid w:val="00152A34"/>
    <w:rsid w:val="00153A62"/>
    <w:rsid w:val="001546F6"/>
    <w:rsid w:val="001558CC"/>
    <w:rsid w:val="00155A41"/>
    <w:rsid w:val="00155D85"/>
    <w:rsid w:val="00156FD6"/>
    <w:rsid w:val="0016065D"/>
    <w:rsid w:val="0016234C"/>
    <w:rsid w:val="00165E11"/>
    <w:rsid w:val="001661ED"/>
    <w:rsid w:val="001667C0"/>
    <w:rsid w:val="001668E8"/>
    <w:rsid w:val="001675DF"/>
    <w:rsid w:val="00167BE3"/>
    <w:rsid w:val="00173620"/>
    <w:rsid w:val="00173AE8"/>
    <w:rsid w:val="0017463B"/>
    <w:rsid w:val="00174E34"/>
    <w:rsid w:val="00174E48"/>
    <w:rsid w:val="0017516B"/>
    <w:rsid w:val="001751C7"/>
    <w:rsid w:val="00181606"/>
    <w:rsid w:val="00181BE4"/>
    <w:rsid w:val="001847C8"/>
    <w:rsid w:val="00185160"/>
    <w:rsid w:val="0018557A"/>
    <w:rsid w:val="00186BB2"/>
    <w:rsid w:val="001872DD"/>
    <w:rsid w:val="00187F6C"/>
    <w:rsid w:val="00190D73"/>
    <w:rsid w:val="0019119D"/>
    <w:rsid w:val="0019234C"/>
    <w:rsid w:val="0019358B"/>
    <w:rsid w:val="0019394E"/>
    <w:rsid w:val="0019401E"/>
    <w:rsid w:val="001946E2"/>
    <w:rsid w:val="00194843"/>
    <w:rsid w:val="0019528F"/>
    <w:rsid w:val="00195A93"/>
    <w:rsid w:val="0019630D"/>
    <w:rsid w:val="00196320"/>
    <w:rsid w:val="00196EAA"/>
    <w:rsid w:val="00197784"/>
    <w:rsid w:val="00197925"/>
    <w:rsid w:val="001A056B"/>
    <w:rsid w:val="001A1226"/>
    <w:rsid w:val="001A191B"/>
    <w:rsid w:val="001A1A8C"/>
    <w:rsid w:val="001A26A9"/>
    <w:rsid w:val="001A43AA"/>
    <w:rsid w:val="001A46F0"/>
    <w:rsid w:val="001A58E5"/>
    <w:rsid w:val="001A629A"/>
    <w:rsid w:val="001A656A"/>
    <w:rsid w:val="001A758B"/>
    <w:rsid w:val="001A7F56"/>
    <w:rsid w:val="001B0359"/>
    <w:rsid w:val="001B1B14"/>
    <w:rsid w:val="001B1BA8"/>
    <w:rsid w:val="001B28DE"/>
    <w:rsid w:val="001B2B17"/>
    <w:rsid w:val="001B473E"/>
    <w:rsid w:val="001B4762"/>
    <w:rsid w:val="001B656E"/>
    <w:rsid w:val="001B6C07"/>
    <w:rsid w:val="001B6C45"/>
    <w:rsid w:val="001B7588"/>
    <w:rsid w:val="001B78F8"/>
    <w:rsid w:val="001C05D2"/>
    <w:rsid w:val="001C06B8"/>
    <w:rsid w:val="001C1063"/>
    <w:rsid w:val="001C148C"/>
    <w:rsid w:val="001C16D6"/>
    <w:rsid w:val="001C19C4"/>
    <w:rsid w:val="001C2EBC"/>
    <w:rsid w:val="001C463D"/>
    <w:rsid w:val="001C5698"/>
    <w:rsid w:val="001C5E70"/>
    <w:rsid w:val="001C78FE"/>
    <w:rsid w:val="001C7D75"/>
    <w:rsid w:val="001D0F9E"/>
    <w:rsid w:val="001D140C"/>
    <w:rsid w:val="001D1990"/>
    <w:rsid w:val="001D2564"/>
    <w:rsid w:val="001D38D3"/>
    <w:rsid w:val="001D38F8"/>
    <w:rsid w:val="001D3AB2"/>
    <w:rsid w:val="001D3D96"/>
    <w:rsid w:val="001D5684"/>
    <w:rsid w:val="001D5940"/>
    <w:rsid w:val="001D5EBB"/>
    <w:rsid w:val="001D6099"/>
    <w:rsid w:val="001D618E"/>
    <w:rsid w:val="001D634F"/>
    <w:rsid w:val="001D6791"/>
    <w:rsid w:val="001D78C8"/>
    <w:rsid w:val="001D79D1"/>
    <w:rsid w:val="001E0209"/>
    <w:rsid w:val="001E1867"/>
    <w:rsid w:val="001E1B97"/>
    <w:rsid w:val="001E1BB4"/>
    <w:rsid w:val="001E27CF"/>
    <w:rsid w:val="001E29A9"/>
    <w:rsid w:val="001E3A52"/>
    <w:rsid w:val="001E78B2"/>
    <w:rsid w:val="001E7E75"/>
    <w:rsid w:val="001F0442"/>
    <w:rsid w:val="001F06EF"/>
    <w:rsid w:val="001F1BB1"/>
    <w:rsid w:val="001F2595"/>
    <w:rsid w:val="001F5BE9"/>
    <w:rsid w:val="001F6B0F"/>
    <w:rsid w:val="001F6B10"/>
    <w:rsid w:val="00200FDF"/>
    <w:rsid w:val="00202136"/>
    <w:rsid w:val="002034B4"/>
    <w:rsid w:val="00204F77"/>
    <w:rsid w:val="00205345"/>
    <w:rsid w:val="00205B9F"/>
    <w:rsid w:val="0020663A"/>
    <w:rsid w:val="00206891"/>
    <w:rsid w:val="00206FEF"/>
    <w:rsid w:val="00207283"/>
    <w:rsid w:val="0020782D"/>
    <w:rsid w:val="00207971"/>
    <w:rsid w:val="00210609"/>
    <w:rsid w:val="0021461D"/>
    <w:rsid w:val="0021462D"/>
    <w:rsid w:val="00214E5D"/>
    <w:rsid w:val="00214F59"/>
    <w:rsid w:val="00215DA8"/>
    <w:rsid w:val="00215DE3"/>
    <w:rsid w:val="00217DAF"/>
    <w:rsid w:val="00217E5B"/>
    <w:rsid w:val="002211AA"/>
    <w:rsid w:val="00221723"/>
    <w:rsid w:val="00221A56"/>
    <w:rsid w:val="00222C4E"/>
    <w:rsid w:val="002230A0"/>
    <w:rsid w:val="0022411A"/>
    <w:rsid w:val="0022565C"/>
    <w:rsid w:val="00225C73"/>
    <w:rsid w:val="0022704B"/>
    <w:rsid w:val="00230200"/>
    <w:rsid w:val="002325F1"/>
    <w:rsid w:val="0023274D"/>
    <w:rsid w:val="0023283B"/>
    <w:rsid w:val="00232905"/>
    <w:rsid w:val="00233E3E"/>
    <w:rsid w:val="002353A7"/>
    <w:rsid w:val="002357CC"/>
    <w:rsid w:val="00235847"/>
    <w:rsid w:val="00236876"/>
    <w:rsid w:val="00242B8C"/>
    <w:rsid w:val="00243ED7"/>
    <w:rsid w:val="0024428E"/>
    <w:rsid w:val="002446D0"/>
    <w:rsid w:val="002449F8"/>
    <w:rsid w:val="00244FFC"/>
    <w:rsid w:val="00245CFA"/>
    <w:rsid w:val="00246532"/>
    <w:rsid w:val="00246B3B"/>
    <w:rsid w:val="00246F2D"/>
    <w:rsid w:val="00247754"/>
    <w:rsid w:val="0024792C"/>
    <w:rsid w:val="00247997"/>
    <w:rsid w:val="00247B57"/>
    <w:rsid w:val="0025020F"/>
    <w:rsid w:val="00250DCF"/>
    <w:rsid w:val="002515D7"/>
    <w:rsid w:val="00253209"/>
    <w:rsid w:val="00253A9D"/>
    <w:rsid w:val="002545AD"/>
    <w:rsid w:val="002545C0"/>
    <w:rsid w:val="00254BD3"/>
    <w:rsid w:val="00254E6A"/>
    <w:rsid w:val="002563A6"/>
    <w:rsid w:val="002576DE"/>
    <w:rsid w:val="00261595"/>
    <w:rsid w:val="00261825"/>
    <w:rsid w:val="002627D3"/>
    <w:rsid w:val="00262D18"/>
    <w:rsid w:val="00262D3C"/>
    <w:rsid w:val="00262FD7"/>
    <w:rsid w:val="00263070"/>
    <w:rsid w:val="00264730"/>
    <w:rsid w:val="00264C38"/>
    <w:rsid w:val="00265742"/>
    <w:rsid w:val="00265850"/>
    <w:rsid w:val="0026597B"/>
    <w:rsid w:val="00265AD1"/>
    <w:rsid w:val="0027043C"/>
    <w:rsid w:val="002718F5"/>
    <w:rsid w:val="00272472"/>
    <w:rsid w:val="0027253A"/>
    <w:rsid w:val="0027298D"/>
    <w:rsid w:val="00272B38"/>
    <w:rsid w:val="00273393"/>
    <w:rsid w:val="002736AB"/>
    <w:rsid w:val="002743CD"/>
    <w:rsid w:val="00275581"/>
    <w:rsid w:val="0027567B"/>
    <w:rsid w:val="002757FC"/>
    <w:rsid w:val="0028014A"/>
    <w:rsid w:val="0028077F"/>
    <w:rsid w:val="002811C4"/>
    <w:rsid w:val="00282BD5"/>
    <w:rsid w:val="00282C92"/>
    <w:rsid w:val="00283011"/>
    <w:rsid w:val="0028400A"/>
    <w:rsid w:val="002841E6"/>
    <w:rsid w:val="00284DCF"/>
    <w:rsid w:val="00285DC8"/>
    <w:rsid w:val="00286411"/>
    <w:rsid w:val="00287182"/>
    <w:rsid w:val="00290141"/>
    <w:rsid w:val="00291A63"/>
    <w:rsid w:val="0029272E"/>
    <w:rsid w:val="00293810"/>
    <w:rsid w:val="00293858"/>
    <w:rsid w:val="00293DC8"/>
    <w:rsid w:val="00294663"/>
    <w:rsid w:val="00295420"/>
    <w:rsid w:val="00297AAE"/>
    <w:rsid w:val="002A06C5"/>
    <w:rsid w:val="002A0909"/>
    <w:rsid w:val="002A0EA1"/>
    <w:rsid w:val="002A33C1"/>
    <w:rsid w:val="002A4453"/>
    <w:rsid w:val="002A4F4E"/>
    <w:rsid w:val="002A53B9"/>
    <w:rsid w:val="002A53C9"/>
    <w:rsid w:val="002A56F6"/>
    <w:rsid w:val="002A5741"/>
    <w:rsid w:val="002A5A77"/>
    <w:rsid w:val="002A7BB4"/>
    <w:rsid w:val="002B4C3B"/>
    <w:rsid w:val="002B5651"/>
    <w:rsid w:val="002B60C2"/>
    <w:rsid w:val="002B63BF"/>
    <w:rsid w:val="002B7330"/>
    <w:rsid w:val="002C00A7"/>
    <w:rsid w:val="002C0C52"/>
    <w:rsid w:val="002C0FB1"/>
    <w:rsid w:val="002C132B"/>
    <w:rsid w:val="002C25F3"/>
    <w:rsid w:val="002C37D4"/>
    <w:rsid w:val="002C3B63"/>
    <w:rsid w:val="002C5548"/>
    <w:rsid w:val="002C601D"/>
    <w:rsid w:val="002C7040"/>
    <w:rsid w:val="002D06C7"/>
    <w:rsid w:val="002D1D35"/>
    <w:rsid w:val="002D1F41"/>
    <w:rsid w:val="002D2336"/>
    <w:rsid w:val="002D2732"/>
    <w:rsid w:val="002D2BC1"/>
    <w:rsid w:val="002D33C9"/>
    <w:rsid w:val="002D3728"/>
    <w:rsid w:val="002D3FDF"/>
    <w:rsid w:val="002D41E8"/>
    <w:rsid w:val="002D42AC"/>
    <w:rsid w:val="002D521D"/>
    <w:rsid w:val="002D56FB"/>
    <w:rsid w:val="002D5B3E"/>
    <w:rsid w:val="002D63AC"/>
    <w:rsid w:val="002D6CC8"/>
    <w:rsid w:val="002D7963"/>
    <w:rsid w:val="002D7F23"/>
    <w:rsid w:val="002E0EE7"/>
    <w:rsid w:val="002E1C84"/>
    <w:rsid w:val="002E24D7"/>
    <w:rsid w:val="002E4243"/>
    <w:rsid w:val="002E6CC5"/>
    <w:rsid w:val="002E6E84"/>
    <w:rsid w:val="002E7165"/>
    <w:rsid w:val="002F02CA"/>
    <w:rsid w:val="002F2E71"/>
    <w:rsid w:val="002F33F4"/>
    <w:rsid w:val="002F37B8"/>
    <w:rsid w:val="002F3E16"/>
    <w:rsid w:val="002F4913"/>
    <w:rsid w:val="002F5050"/>
    <w:rsid w:val="002F58E9"/>
    <w:rsid w:val="002F647E"/>
    <w:rsid w:val="002F6EAB"/>
    <w:rsid w:val="002F7133"/>
    <w:rsid w:val="00300927"/>
    <w:rsid w:val="00300D61"/>
    <w:rsid w:val="003014B9"/>
    <w:rsid w:val="00301767"/>
    <w:rsid w:val="003020B8"/>
    <w:rsid w:val="0030296E"/>
    <w:rsid w:val="00302B35"/>
    <w:rsid w:val="00303CDC"/>
    <w:rsid w:val="0030462B"/>
    <w:rsid w:val="00304BFA"/>
    <w:rsid w:val="003055EE"/>
    <w:rsid w:val="00306A73"/>
    <w:rsid w:val="00307B1C"/>
    <w:rsid w:val="003105A7"/>
    <w:rsid w:val="00311960"/>
    <w:rsid w:val="003119A2"/>
    <w:rsid w:val="00312914"/>
    <w:rsid w:val="003147CC"/>
    <w:rsid w:val="0031774E"/>
    <w:rsid w:val="00320347"/>
    <w:rsid w:val="00320444"/>
    <w:rsid w:val="00320669"/>
    <w:rsid w:val="00321F20"/>
    <w:rsid w:val="003224D8"/>
    <w:rsid w:val="003227FD"/>
    <w:rsid w:val="003229CC"/>
    <w:rsid w:val="00323B74"/>
    <w:rsid w:val="003270A0"/>
    <w:rsid w:val="00327A50"/>
    <w:rsid w:val="00327DF1"/>
    <w:rsid w:val="00332593"/>
    <w:rsid w:val="00334754"/>
    <w:rsid w:val="0033595E"/>
    <w:rsid w:val="0033655A"/>
    <w:rsid w:val="00337481"/>
    <w:rsid w:val="003378A1"/>
    <w:rsid w:val="003403AF"/>
    <w:rsid w:val="003406C3"/>
    <w:rsid w:val="00340E73"/>
    <w:rsid w:val="00340ED5"/>
    <w:rsid w:val="003420D3"/>
    <w:rsid w:val="00342DA2"/>
    <w:rsid w:val="003439F8"/>
    <w:rsid w:val="00343D8B"/>
    <w:rsid w:val="003449CD"/>
    <w:rsid w:val="003451D2"/>
    <w:rsid w:val="003464FA"/>
    <w:rsid w:val="003473D4"/>
    <w:rsid w:val="00350564"/>
    <w:rsid w:val="0035158F"/>
    <w:rsid w:val="003526CD"/>
    <w:rsid w:val="0035275B"/>
    <w:rsid w:val="0035296E"/>
    <w:rsid w:val="00352F10"/>
    <w:rsid w:val="00354CB9"/>
    <w:rsid w:val="00355E0D"/>
    <w:rsid w:val="00356286"/>
    <w:rsid w:val="0035674C"/>
    <w:rsid w:val="00356D58"/>
    <w:rsid w:val="00361756"/>
    <w:rsid w:val="00361A66"/>
    <w:rsid w:val="00361E1E"/>
    <w:rsid w:val="003625D1"/>
    <w:rsid w:val="00362BBA"/>
    <w:rsid w:val="00363490"/>
    <w:rsid w:val="003653DD"/>
    <w:rsid w:val="00367CFB"/>
    <w:rsid w:val="003710CB"/>
    <w:rsid w:val="003712D1"/>
    <w:rsid w:val="0037204F"/>
    <w:rsid w:val="003729D6"/>
    <w:rsid w:val="003740D1"/>
    <w:rsid w:val="0037503F"/>
    <w:rsid w:val="003757B3"/>
    <w:rsid w:val="00375CC1"/>
    <w:rsid w:val="00376808"/>
    <w:rsid w:val="00377B87"/>
    <w:rsid w:val="0038131B"/>
    <w:rsid w:val="00381C0C"/>
    <w:rsid w:val="003827D5"/>
    <w:rsid w:val="00382B19"/>
    <w:rsid w:val="00382D64"/>
    <w:rsid w:val="003837CC"/>
    <w:rsid w:val="003839C1"/>
    <w:rsid w:val="00383AD4"/>
    <w:rsid w:val="00385417"/>
    <w:rsid w:val="00385D8C"/>
    <w:rsid w:val="0038672A"/>
    <w:rsid w:val="00390C3C"/>
    <w:rsid w:val="00390D07"/>
    <w:rsid w:val="00390DFE"/>
    <w:rsid w:val="003923EF"/>
    <w:rsid w:val="0039277B"/>
    <w:rsid w:val="00392973"/>
    <w:rsid w:val="003929FF"/>
    <w:rsid w:val="0039424F"/>
    <w:rsid w:val="00395341"/>
    <w:rsid w:val="00395647"/>
    <w:rsid w:val="00396454"/>
    <w:rsid w:val="00397181"/>
    <w:rsid w:val="003A0E75"/>
    <w:rsid w:val="003A24A8"/>
    <w:rsid w:val="003A35DA"/>
    <w:rsid w:val="003A3B9F"/>
    <w:rsid w:val="003A3EC4"/>
    <w:rsid w:val="003A40D2"/>
    <w:rsid w:val="003A4CC2"/>
    <w:rsid w:val="003A5696"/>
    <w:rsid w:val="003A5C51"/>
    <w:rsid w:val="003A68A3"/>
    <w:rsid w:val="003B0432"/>
    <w:rsid w:val="003B0472"/>
    <w:rsid w:val="003B0CF1"/>
    <w:rsid w:val="003B0FFC"/>
    <w:rsid w:val="003B2043"/>
    <w:rsid w:val="003B22E6"/>
    <w:rsid w:val="003B3452"/>
    <w:rsid w:val="003B39E1"/>
    <w:rsid w:val="003B4770"/>
    <w:rsid w:val="003B4B60"/>
    <w:rsid w:val="003B4C34"/>
    <w:rsid w:val="003B59FC"/>
    <w:rsid w:val="003B657D"/>
    <w:rsid w:val="003B7D0C"/>
    <w:rsid w:val="003C0157"/>
    <w:rsid w:val="003C02C6"/>
    <w:rsid w:val="003C08F3"/>
    <w:rsid w:val="003C2457"/>
    <w:rsid w:val="003C2C5C"/>
    <w:rsid w:val="003C3166"/>
    <w:rsid w:val="003C3D4B"/>
    <w:rsid w:val="003C513A"/>
    <w:rsid w:val="003C6B34"/>
    <w:rsid w:val="003C6FB7"/>
    <w:rsid w:val="003D0282"/>
    <w:rsid w:val="003D06B4"/>
    <w:rsid w:val="003D087D"/>
    <w:rsid w:val="003D0AC9"/>
    <w:rsid w:val="003D0E5B"/>
    <w:rsid w:val="003D1830"/>
    <w:rsid w:val="003D1A17"/>
    <w:rsid w:val="003D210D"/>
    <w:rsid w:val="003D27B3"/>
    <w:rsid w:val="003D3CA8"/>
    <w:rsid w:val="003D509B"/>
    <w:rsid w:val="003D52F6"/>
    <w:rsid w:val="003D5F7C"/>
    <w:rsid w:val="003D6307"/>
    <w:rsid w:val="003D646A"/>
    <w:rsid w:val="003D7397"/>
    <w:rsid w:val="003D7FDE"/>
    <w:rsid w:val="003E0638"/>
    <w:rsid w:val="003E0B35"/>
    <w:rsid w:val="003E0E3E"/>
    <w:rsid w:val="003E15F5"/>
    <w:rsid w:val="003E17E8"/>
    <w:rsid w:val="003E1810"/>
    <w:rsid w:val="003E1EE3"/>
    <w:rsid w:val="003E2267"/>
    <w:rsid w:val="003E25C5"/>
    <w:rsid w:val="003E26FE"/>
    <w:rsid w:val="003E28B1"/>
    <w:rsid w:val="003E3926"/>
    <w:rsid w:val="003E3F63"/>
    <w:rsid w:val="003E69CD"/>
    <w:rsid w:val="003E6BF6"/>
    <w:rsid w:val="003E6CE8"/>
    <w:rsid w:val="003F00C0"/>
    <w:rsid w:val="003F0A6C"/>
    <w:rsid w:val="003F0A79"/>
    <w:rsid w:val="003F0D3D"/>
    <w:rsid w:val="003F0E86"/>
    <w:rsid w:val="003F0F2A"/>
    <w:rsid w:val="003F141E"/>
    <w:rsid w:val="003F2217"/>
    <w:rsid w:val="003F2F92"/>
    <w:rsid w:val="003F32CF"/>
    <w:rsid w:val="003F3B82"/>
    <w:rsid w:val="003F3D5F"/>
    <w:rsid w:val="003F4EEA"/>
    <w:rsid w:val="003F52FE"/>
    <w:rsid w:val="003F53C2"/>
    <w:rsid w:val="00400C0B"/>
    <w:rsid w:val="00401AEC"/>
    <w:rsid w:val="00402D04"/>
    <w:rsid w:val="00402EB3"/>
    <w:rsid w:val="004033D3"/>
    <w:rsid w:val="00403924"/>
    <w:rsid w:val="0040512D"/>
    <w:rsid w:val="00406671"/>
    <w:rsid w:val="00407140"/>
    <w:rsid w:val="00407A7A"/>
    <w:rsid w:val="004115D1"/>
    <w:rsid w:val="00412A98"/>
    <w:rsid w:val="00413123"/>
    <w:rsid w:val="00413E0A"/>
    <w:rsid w:val="00413FA2"/>
    <w:rsid w:val="00415025"/>
    <w:rsid w:val="00415470"/>
    <w:rsid w:val="0041586D"/>
    <w:rsid w:val="004160A6"/>
    <w:rsid w:val="0041737C"/>
    <w:rsid w:val="00417EF7"/>
    <w:rsid w:val="00417FD7"/>
    <w:rsid w:val="00420D37"/>
    <w:rsid w:val="004227C1"/>
    <w:rsid w:val="00422E4E"/>
    <w:rsid w:val="0042341E"/>
    <w:rsid w:val="0042564F"/>
    <w:rsid w:val="00426A15"/>
    <w:rsid w:val="004276AC"/>
    <w:rsid w:val="00427A99"/>
    <w:rsid w:val="00430695"/>
    <w:rsid w:val="00430CD9"/>
    <w:rsid w:val="004319C0"/>
    <w:rsid w:val="00431BD5"/>
    <w:rsid w:val="00433411"/>
    <w:rsid w:val="004341D9"/>
    <w:rsid w:val="004348C9"/>
    <w:rsid w:val="0043558D"/>
    <w:rsid w:val="00436464"/>
    <w:rsid w:val="00436E84"/>
    <w:rsid w:val="00437160"/>
    <w:rsid w:val="00437ACB"/>
    <w:rsid w:val="00437CFC"/>
    <w:rsid w:val="00437D7D"/>
    <w:rsid w:val="00440933"/>
    <w:rsid w:val="00441EE5"/>
    <w:rsid w:val="00441F85"/>
    <w:rsid w:val="00442902"/>
    <w:rsid w:val="00442E1E"/>
    <w:rsid w:val="00442FDC"/>
    <w:rsid w:val="00444066"/>
    <w:rsid w:val="0044470E"/>
    <w:rsid w:val="00444A7D"/>
    <w:rsid w:val="00444B4B"/>
    <w:rsid w:val="004473BE"/>
    <w:rsid w:val="00450374"/>
    <w:rsid w:val="0045101A"/>
    <w:rsid w:val="00451C83"/>
    <w:rsid w:val="00454F2A"/>
    <w:rsid w:val="00455CFC"/>
    <w:rsid w:val="00457702"/>
    <w:rsid w:val="00457808"/>
    <w:rsid w:val="004600CF"/>
    <w:rsid w:val="0046021A"/>
    <w:rsid w:val="00460486"/>
    <w:rsid w:val="00461B8E"/>
    <w:rsid w:val="004621F5"/>
    <w:rsid w:val="004622BE"/>
    <w:rsid w:val="00462A7D"/>
    <w:rsid w:val="00462C74"/>
    <w:rsid w:val="00462C78"/>
    <w:rsid w:val="00463AA6"/>
    <w:rsid w:val="00464184"/>
    <w:rsid w:val="004641E5"/>
    <w:rsid w:val="004659C7"/>
    <w:rsid w:val="00465D24"/>
    <w:rsid w:val="00466FF2"/>
    <w:rsid w:val="00467073"/>
    <w:rsid w:val="0047076F"/>
    <w:rsid w:val="004707E4"/>
    <w:rsid w:val="00470B12"/>
    <w:rsid w:val="00471270"/>
    <w:rsid w:val="00473CEC"/>
    <w:rsid w:val="00474EE3"/>
    <w:rsid w:val="00475C17"/>
    <w:rsid w:val="00476A69"/>
    <w:rsid w:val="00476CA8"/>
    <w:rsid w:val="00477AF3"/>
    <w:rsid w:val="0048120F"/>
    <w:rsid w:val="00481297"/>
    <w:rsid w:val="0048166C"/>
    <w:rsid w:val="004817A9"/>
    <w:rsid w:val="00482B74"/>
    <w:rsid w:val="0048350D"/>
    <w:rsid w:val="004837F6"/>
    <w:rsid w:val="004847BF"/>
    <w:rsid w:val="00484AB7"/>
    <w:rsid w:val="00484D46"/>
    <w:rsid w:val="0048557D"/>
    <w:rsid w:val="00486BAA"/>
    <w:rsid w:val="00490289"/>
    <w:rsid w:val="00490824"/>
    <w:rsid w:val="004922CF"/>
    <w:rsid w:val="004928B9"/>
    <w:rsid w:val="00492925"/>
    <w:rsid w:val="00492BFE"/>
    <w:rsid w:val="004938CF"/>
    <w:rsid w:val="00496377"/>
    <w:rsid w:val="00496DA7"/>
    <w:rsid w:val="00496FF9"/>
    <w:rsid w:val="00497075"/>
    <w:rsid w:val="004A1533"/>
    <w:rsid w:val="004A16EC"/>
    <w:rsid w:val="004A1F41"/>
    <w:rsid w:val="004A1FAD"/>
    <w:rsid w:val="004A21D3"/>
    <w:rsid w:val="004A2D0C"/>
    <w:rsid w:val="004A6396"/>
    <w:rsid w:val="004A6919"/>
    <w:rsid w:val="004A6B65"/>
    <w:rsid w:val="004A72D5"/>
    <w:rsid w:val="004A7BBB"/>
    <w:rsid w:val="004B0720"/>
    <w:rsid w:val="004B139A"/>
    <w:rsid w:val="004B13B5"/>
    <w:rsid w:val="004B2A89"/>
    <w:rsid w:val="004B34C2"/>
    <w:rsid w:val="004B3650"/>
    <w:rsid w:val="004B44E9"/>
    <w:rsid w:val="004B5FE6"/>
    <w:rsid w:val="004B68E8"/>
    <w:rsid w:val="004B6AB2"/>
    <w:rsid w:val="004B71AD"/>
    <w:rsid w:val="004B7771"/>
    <w:rsid w:val="004B7A53"/>
    <w:rsid w:val="004C03E0"/>
    <w:rsid w:val="004C0789"/>
    <w:rsid w:val="004C2994"/>
    <w:rsid w:val="004C2D9B"/>
    <w:rsid w:val="004C32B2"/>
    <w:rsid w:val="004C3B3B"/>
    <w:rsid w:val="004C4380"/>
    <w:rsid w:val="004C47C8"/>
    <w:rsid w:val="004C49DC"/>
    <w:rsid w:val="004C60AA"/>
    <w:rsid w:val="004C7475"/>
    <w:rsid w:val="004C7499"/>
    <w:rsid w:val="004C7773"/>
    <w:rsid w:val="004D000F"/>
    <w:rsid w:val="004D04FE"/>
    <w:rsid w:val="004D05A2"/>
    <w:rsid w:val="004D11F1"/>
    <w:rsid w:val="004D252B"/>
    <w:rsid w:val="004D2CCB"/>
    <w:rsid w:val="004D4107"/>
    <w:rsid w:val="004D56B3"/>
    <w:rsid w:val="004D5DE8"/>
    <w:rsid w:val="004D6964"/>
    <w:rsid w:val="004D6A0D"/>
    <w:rsid w:val="004D7299"/>
    <w:rsid w:val="004D78A8"/>
    <w:rsid w:val="004E00E2"/>
    <w:rsid w:val="004E2025"/>
    <w:rsid w:val="004E22CE"/>
    <w:rsid w:val="004E2972"/>
    <w:rsid w:val="004E799E"/>
    <w:rsid w:val="004F01CF"/>
    <w:rsid w:val="004F10B7"/>
    <w:rsid w:val="004F1C2C"/>
    <w:rsid w:val="004F2021"/>
    <w:rsid w:val="004F33A2"/>
    <w:rsid w:val="004F34B2"/>
    <w:rsid w:val="004F37C1"/>
    <w:rsid w:val="004F42FC"/>
    <w:rsid w:val="0050010A"/>
    <w:rsid w:val="00500A8D"/>
    <w:rsid w:val="005018BC"/>
    <w:rsid w:val="00501A36"/>
    <w:rsid w:val="00501E1C"/>
    <w:rsid w:val="0050281B"/>
    <w:rsid w:val="005030B3"/>
    <w:rsid w:val="005033C5"/>
    <w:rsid w:val="00503B42"/>
    <w:rsid w:val="00506EF9"/>
    <w:rsid w:val="005071D8"/>
    <w:rsid w:val="00507EA4"/>
    <w:rsid w:val="00510304"/>
    <w:rsid w:val="0051192A"/>
    <w:rsid w:val="00511CFF"/>
    <w:rsid w:val="00512618"/>
    <w:rsid w:val="00513065"/>
    <w:rsid w:val="00514266"/>
    <w:rsid w:val="005142A9"/>
    <w:rsid w:val="0051449A"/>
    <w:rsid w:val="0051477A"/>
    <w:rsid w:val="00515101"/>
    <w:rsid w:val="0051755C"/>
    <w:rsid w:val="005205C4"/>
    <w:rsid w:val="0052170C"/>
    <w:rsid w:val="005223B2"/>
    <w:rsid w:val="00524CB8"/>
    <w:rsid w:val="0052551C"/>
    <w:rsid w:val="00526EB4"/>
    <w:rsid w:val="0053307D"/>
    <w:rsid w:val="0053307F"/>
    <w:rsid w:val="005333C2"/>
    <w:rsid w:val="005340E1"/>
    <w:rsid w:val="005342D2"/>
    <w:rsid w:val="00534CC4"/>
    <w:rsid w:val="00536245"/>
    <w:rsid w:val="0053629F"/>
    <w:rsid w:val="00536A32"/>
    <w:rsid w:val="00536EA2"/>
    <w:rsid w:val="00537406"/>
    <w:rsid w:val="00537E07"/>
    <w:rsid w:val="00537EB4"/>
    <w:rsid w:val="005416EA"/>
    <w:rsid w:val="00541EC2"/>
    <w:rsid w:val="00541F35"/>
    <w:rsid w:val="00543D04"/>
    <w:rsid w:val="005442A7"/>
    <w:rsid w:val="0054438C"/>
    <w:rsid w:val="005448FF"/>
    <w:rsid w:val="00544EA6"/>
    <w:rsid w:val="005450CE"/>
    <w:rsid w:val="005456D7"/>
    <w:rsid w:val="00545FC2"/>
    <w:rsid w:val="005460D5"/>
    <w:rsid w:val="00546E1C"/>
    <w:rsid w:val="00546E60"/>
    <w:rsid w:val="005472C2"/>
    <w:rsid w:val="00547DC1"/>
    <w:rsid w:val="00550D99"/>
    <w:rsid w:val="0055120F"/>
    <w:rsid w:val="0055143D"/>
    <w:rsid w:val="005516E4"/>
    <w:rsid w:val="00551914"/>
    <w:rsid w:val="00551A77"/>
    <w:rsid w:val="0055331D"/>
    <w:rsid w:val="005536B8"/>
    <w:rsid w:val="0055469C"/>
    <w:rsid w:val="0055593F"/>
    <w:rsid w:val="00560F63"/>
    <w:rsid w:val="00561C93"/>
    <w:rsid w:val="00564849"/>
    <w:rsid w:val="005649CD"/>
    <w:rsid w:val="00565968"/>
    <w:rsid w:val="00566176"/>
    <w:rsid w:val="0056673B"/>
    <w:rsid w:val="00567317"/>
    <w:rsid w:val="00571BDB"/>
    <w:rsid w:val="00571DB2"/>
    <w:rsid w:val="005723A3"/>
    <w:rsid w:val="00572524"/>
    <w:rsid w:val="005729A9"/>
    <w:rsid w:val="00572BC9"/>
    <w:rsid w:val="00572F30"/>
    <w:rsid w:val="00575675"/>
    <w:rsid w:val="0057604B"/>
    <w:rsid w:val="005768E2"/>
    <w:rsid w:val="005773F4"/>
    <w:rsid w:val="00577737"/>
    <w:rsid w:val="00580445"/>
    <w:rsid w:val="005816F7"/>
    <w:rsid w:val="00581C90"/>
    <w:rsid w:val="00581D98"/>
    <w:rsid w:val="00582FCD"/>
    <w:rsid w:val="00583088"/>
    <w:rsid w:val="005847ED"/>
    <w:rsid w:val="005849A3"/>
    <w:rsid w:val="00584DC6"/>
    <w:rsid w:val="00585E7B"/>
    <w:rsid w:val="005865E0"/>
    <w:rsid w:val="0058706E"/>
    <w:rsid w:val="005902FB"/>
    <w:rsid w:val="00590D54"/>
    <w:rsid w:val="00590DFD"/>
    <w:rsid w:val="00590E06"/>
    <w:rsid w:val="005910C8"/>
    <w:rsid w:val="0059159E"/>
    <w:rsid w:val="005916CC"/>
    <w:rsid w:val="005922B5"/>
    <w:rsid w:val="00592A0D"/>
    <w:rsid w:val="00593020"/>
    <w:rsid w:val="0059484E"/>
    <w:rsid w:val="00594B3A"/>
    <w:rsid w:val="00594FDF"/>
    <w:rsid w:val="00595909"/>
    <w:rsid w:val="0059628D"/>
    <w:rsid w:val="005966D5"/>
    <w:rsid w:val="00597D58"/>
    <w:rsid w:val="00597F12"/>
    <w:rsid w:val="005A035C"/>
    <w:rsid w:val="005A0C4A"/>
    <w:rsid w:val="005A1220"/>
    <w:rsid w:val="005A188A"/>
    <w:rsid w:val="005A2AB2"/>
    <w:rsid w:val="005A5833"/>
    <w:rsid w:val="005A5C23"/>
    <w:rsid w:val="005A7625"/>
    <w:rsid w:val="005A7668"/>
    <w:rsid w:val="005A7DA6"/>
    <w:rsid w:val="005B03EE"/>
    <w:rsid w:val="005B0ACA"/>
    <w:rsid w:val="005B0D11"/>
    <w:rsid w:val="005B0E38"/>
    <w:rsid w:val="005B12B8"/>
    <w:rsid w:val="005B25C9"/>
    <w:rsid w:val="005B2D01"/>
    <w:rsid w:val="005B35F8"/>
    <w:rsid w:val="005B3EF1"/>
    <w:rsid w:val="005B5B40"/>
    <w:rsid w:val="005B65C1"/>
    <w:rsid w:val="005B6B96"/>
    <w:rsid w:val="005B73E4"/>
    <w:rsid w:val="005B79DE"/>
    <w:rsid w:val="005C0C47"/>
    <w:rsid w:val="005C1803"/>
    <w:rsid w:val="005C1A4C"/>
    <w:rsid w:val="005C1E59"/>
    <w:rsid w:val="005C20F2"/>
    <w:rsid w:val="005C31C5"/>
    <w:rsid w:val="005C3323"/>
    <w:rsid w:val="005C5C4E"/>
    <w:rsid w:val="005C6C23"/>
    <w:rsid w:val="005C6F16"/>
    <w:rsid w:val="005D0F06"/>
    <w:rsid w:val="005D1396"/>
    <w:rsid w:val="005D2035"/>
    <w:rsid w:val="005D208B"/>
    <w:rsid w:val="005D219C"/>
    <w:rsid w:val="005D301F"/>
    <w:rsid w:val="005D3157"/>
    <w:rsid w:val="005D3DA7"/>
    <w:rsid w:val="005D435B"/>
    <w:rsid w:val="005D46A7"/>
    <w:rsid w:val="005D4D3D"/>
    <w:rsid w:val="005D5061"/>
    <w:rsid w:val="005D69EB"/>
    <w:rsid w:val="005D6E5D"/>
    <w:rsid w:val="005D6FDB"/>
    <w:rsid w:val="005D7E27"/>
    <w:rsid w:val="005E0805"/>
    <w:rsid w:val="005E1227"/>
    <w:rsid w:val="005E1253"/>
    <w:rsid w:val="005E1D20"/>
    <w:rsid w:val="005E2A00"/>
    <w:rsid w:val="005E361B"/>
    <w:rsid w:val="005F1130"/>
    <w:rsid w:val="005F1257"/>
    <w:rsid w:val="005F2165"/>
    <w:rsid w:val="005F2523"/>
    <w:rsid w:val="005F3DBC"/>
    <w:rsid w:val="005F46F7"/>
    <w:rsid w:val="005F4A63"/>
    <w:rsid w:val="005F4B0A"/>
    <w:rsid w:val="005F4B19"/>
    <w:rsid w:val="005F6817"/>
    <w:rsid w:val="005F6ECD"/>
    <w:rsid w:val="005F718C"/>
    <w:rsid w:val="005F7700"/>
    <w:rsid w:val="00601B2A"/>
    <w:rsid w:val="00601CA0"/>
    <w:rsid w:val="00603206"/>
    <w:rsid w:val="00606EA0"/>
    <w:rsid w:val="00610387"/>
    <w:rsid w:val="00612A4D"/>
    <w:rsid w:val="00613915"/>
    <w:rsid w:val="006143FA"/>
    <w:rsid w:val="00615310"/>
    <w:rsid w:val="0061535B"/>
    <w:rsid w:val="00615730"/>
    <w:rsid w:val="00617BFE"/>
    <w:rsid w:val="00620019"/>
    <w:rsid w:val="00621573"/>
    <w:rsid w:val="00622F7A"/>
    <w:rsid w:val="00623B03"/>
    <w:rsid w:val="006246F0"/>
    <w:rsid w:val="00625066"/>
    <w:rsid w:val="006253F1"/>
    <w:rsid w:val="00625542"/>
    <w:rsid w:val="00625727"/>
    <w:rsid w:val="0062598C"/>
    <w:rsid w:val="00626B61"/>
    <w:rsid w:val="00626D09"/>
    <w:rsid w:val="006273B4"/>
    <w:rsid w:val="00632F05"/>
    <w:rsid w:val="00633741"/>
    <w:rsid w:val="00633F0B"/>
    <w:rsid w:val="0063438C"/>
    <w:rsid w:val="0063442A"/>
    <w:rsid w:val="006355B0"/>
    <w:rsid w:val="0063590C"/>
    <w:rsid w:val="0063613A"/>
    <w:rsid w:val="00637A20"/>
    <w:rsid w:val="00640150"/>
    <w:rsid w:val="00640D36"/>
    <w:rsid w:val="0064111D"/>
    <w:rsid w:val="00641D01"/>
    <w:rsid w:val="00642683"/>
    <w:rsid w:val="006444D1"/>
    <w:rsid w:val="0064458D"/>
    <w:rsid w:val="0064581E"/>
    <w:rsid w:val="0064585A"/>
    <w:rsid w:val="00647039"/>
    <w:rsid w:val="00647265"/>
    <w:rsid w:val="00647AC0"/>
    <w:rsid w:val="00651561"/>
    <w:rsid w:val="00653765"/>
    <w:rsid w:val="006540E5"/>
    <w:rsid w:val="00654B70"/>
    <w:rsid w:val="0065590A"/>
    <w:rsid w:val="00655992"/>
    <w:rsid w:val="0065699C"/>
    <w:rsid w:val="00660066"/>
    <w:rsid w:val="00660C60"/>
    <w:rsid w:val="00660C9B"/>
    <w:rsid w:val="00661FF8"/>
    <w:rsid w:val="00663951"/>
    <w:rsid w:val="00663DA9"/>
    <w:rsid w:val="00664889"/>
    <w:rsid w:val="0066601F"/>
    <w:rsid w:val="00667743"/>
    <w:rsid w:val="00667F69"/>
    <w:rsid w:val="00670729"/>
    <w:rsid w:val="00670858"/>
    <w:rsid w:val="006723EF"/>
    <w:rsid w:val="00672450"/>
    <w:rsid w:val="00673F83"/>
    <w:rsid w:val="0067477E"/>
    <w:rsid w:val="0067718D"/>
    <w:rsid w:val="00677A0A"/>
    <w:rsid w:val="00681356"/>
    <w:rsid w:val="0068283A"/>
    <w:rsid w:val="006830DB"/>
    <w:rsid w:val="00683672"/>
    <w:rsid w:val="006837B5"/>
    <w:rsid w:val="00683C93"/>
    <w:rsid w:val="00684026"/>
    <w:rsid w:val="00685BCA"/>
    <w:rsid w:val="00685C33"/>
    <w:rsid w:val="00686739"/>
    <w:rsid w:val="006872B6"/>
    <w:rsid w:val="0069002D"/>
    <w:rsid w:val="00690146"/>
    <w:rsid w:val="00690E46"/>
    <w:rsid w:val="00691C73"/>
    <w:rsid w:val="0069318C"/>
    <w:rsid w:val="006932DA"/>
    <w:rsid w:val="00693FB1"/>
    <w:rsid w:val="00694D23"/>
    <w:rsid w:val="00694D35"/>
    <w:rsid w:val="00695510"/>
    <w:rsid w:val="00695F04"/>
    <w:rsid w:val="00695F7A"/>
    <w:rsid w:val="006A10A8"/>
    <w:rsid w:val="006A19C5"/>
    <w:rsid w:val="006A1C10"/>
    <w:rsid w:val="006A4DB7"/>
    <w:rsid w:val="006A5657"/>
    <w:rsid w:val="006A61BA"/>
    <w:rsid w:val="006A6D56"/>
    <w:rsid w:val="006A6DCC"/>
    <w:rsid w:val="006A747D"/>
    <w:rsid w:val="006A7DFF"/>
    <w:rsid w:val="006B005F"/>
    <w:rsid w:val="006B4798"/>
    <w:rsid w:val="006B4FBF"/>
    <w:rsid w:val="006B599D"/>
    <w:rsid w:val="006B5AE8"/>
    <w:rsid w:val="006B7548"/>
    <w:rsid w:val="006B7632"/>
    <w:rsid w:val="006C0CA9"/>
    <w:rsid w:val="006C16E3"/>
    <w:rsid w:val="006C2061"/>
    <w:rsid w:val="006C21F9"/>
    <w:rsid w:val="006C25F6"/>
    <w:rsid w:val="006C4619"/>
    <w:rsid w:val="006C6189"/>
    <w:rsid w:val="006C63EC"/>
    <w:rsid w:val="006C7BA2"/>
    <w:rsid w:val="006D27C0"/>
    <w:rsid w:val="006D4CB8"/>
    <w:rsid w:val="006D50AC"/>
    <w:rsid w:val="006D561D"/>
    <w:rsid w:val="006D6C46"/>
    <w:rsid w:val="006D6D91"/>
    <w:rsid w:val="006D7025"/>
    <w:rsid w:val="006E10BB"/>
    <w:rsid w:val="006E16A4"/>
    <w:rsid w:val="006E18E5"/>
    <w:rsid w:val="006E2861"/>
    <w:rsid w:val="006E64F3"/>
    <w:rsid w:val="006E7458"/>
    <w:rsid w:val="006F180F"/>
    <w:rsid w:val="006F1B51"/>
    <w:rsid w:val="006F1FFB"/>
    <w:rsid w:val="006F25D0"/>
    <w:rsid w:val="006F4B57"/>
    <w:rsid w:val="006F65B3"/>
    <w:rsid w:val="006F6828"/>
    <w:rsid w:val="006F7114"/>
    <w:rsid w:val="006F7AD1"/>
    <w:rsid w:val="00702480"/>
    <w:rsid w:val="00703078"/>
    <w:rsid w:val="00703889"/>
    <w:rsid w:val="007042E6"/>
    <w:rsid w:val="007051E6"/>
    <w:rsid w:val="0070626D"/>
    <w:rsid w:val="007066DF"/>
    <w:rsid w:val="00707394"/>
    <w:rsid w:val="00710CF5"/>
    <w:rsid w:val="00710EBE"/>
    <w:rsid w:val="00710FA4"/>
    <w:rsid w:val="0071195D"/>
    <w:rsid w:val="00713860"/>
    <w:rsid w:val="00713FF3"/>
    <w:rsid w:val="0071415A"/>
    <w:rsid w:val="007144B5"/>
    <w:rsid w:val="00714923"/>
    <w:rsid w:val="00714B55"/>
    <w:rsid w:val="00715499"/>
    <w:rsid w:val="00716CFC"/>
    <w:rsid w:val="007171FE"/>
    <w:rsid w:val="00720BE2"/>
    <w:rsid w:val="007220B1"/>
    <w:rsid w:val="0072317D"/>
    <w:rsid w:val="00723408"/>
    <w:rsid w:val="00723FC5"/>
    <w:rsid w:val="00724908"/>
    <w:rsid w:val="00724A75"/>
    <w:rsid w:val="00724E73"/>
    <w:rsid w:val="00725403"/>
    <w:rsid w:val="0072596E"/>
    <w:rsid w:val="0072790B"/>
    <w:rsid w:val="00731CD0"/>
    <w:rsid w:val="00732C36"/>
    <w:rsid w:val="00733C37"/>
    <w:rsid w:val="00733D86"/>
    <w:rsid w:val="00733DC5"/>
    <w:rsid w:val="0073469F"/>
    <w:rsid w:val="007346F1"/>
    <w:rsid w:val="00736AC8"/>
    <w:rsid w:val="00737A99"/>
    <w:rsid w:val="00737AFF"/>
    <w:rsid w:val="0074227C"/>
    <w:rsid w:val="007424FB"/>
    <w:rsid w:val="00742C55"/>
    <w:rsid w:val="007431CB"/>
    <w:rsid w:val="00744B60"/>
    <w:rsid w:val="0074566A"/>
    <w:rsid w:val="00745B05"/>
    <w:rsid w:val="007461F3"/>
    <w:rsid w:val="00747023"/>
    <w:rsid w:val="00747F53"/>
    <w:rsid w:val="00750AEF"/>
    <w:rsid w:val="00751D03"/>
    <w:rsid w:val="007528D2"/>
    <w:rsid w:val="00752CF8"/>
    <w:rsid w:val="007531A4"/>
    <w:rsid w:val="00753852"/>
    <w:rsid w:val="00754624"/>
    <w:rsid w:val="00755553"/>
    <w:rsid w:val="007555C6"/>
    <w:rsid w:val="00755F22"/>
    <w:rsid w:val="00756547"/>
    <w:rsid w:val="00756C05"/>
    <w:rsid w:val="00756E9C"/>
    <w:rsid w:val="00757204"/>
    <w:rsid w:val="0075799C"/>
    <w:rsid w:val="00757CAE"/>
    <w:rsid w:val="00760098"/>
    <w:rsid w:val="00762378"/>
    <w:rsid w:val="00762546"/>
    <w:rsid w:val="007628D8"/>
    <w:rsid w:val="00763562"/>
    <w:rsid w:val="007635CE"/>
    <w:rsid w:val="007642BA"/>
    <w:rsid w:val="00764C09"/>
    <w:rsid w:val="007651F7"/>
    <w:rsid w:val="007665ED"/>
    <w:rsid w:val="00767696"/>
    <w:rsid w:val="007717B9"/>
    <w:rsid w:val="00771DE1"/>
    <w:rsid w:val="00772806"/>
    <w:rsid w:val="00772F19"/>
    <w:rsid w:val="007738C3"/>
    <w:rsid w:val="00773A1D"/>
    <w:rsid w:val="007743F3"/>
    <w:rsid w:val="0077468E"/>
    <w:rsid w:val="007767A6"/>
    <w:rsid w:val="00776D5D"/>
    <w:rsid w:val="00776FA2"/>
    <w:rsid w:val="00780679"/>
    <w:rsid w:val="00780BDF"/>
    <w:rsid w:val="007817E7"/>
    <w:rsid w:val="0078425D"/>
    <w:rsid w:val="0078439A"/>
    <w:rsid w:val="00784892"/>
    <w:rsid w:val="007851C4"/>
    <w:rsid w:val="007851E2"/>
    <w:rsid w:val="007857A1"/>
    <w:rsid w:val="00785B10"/>
    <w:rsid w:val="00785DAB"/>
    <w:rsid w:val="00786323"/>
    <w:rsid w:val="00786D0F"/>
    <w:rsid w:val="00787996"/>
    <w:rsid w:val="0079077E"/>
    <w:rsid w:val="00791A7B"/>
    <w:rsid w:val="00791F34"/>
    <w:rsid w:val="00792382"/>
    <w:rsid w:val="0079241A"/>
    <w:rsid w:val="007924B3"/>
    <w:rsid w:val="00792896"/>
    <w:rsid w:val="00792DCB"/>
    <w:rsid w:val="00794292"/>
    <w:rsid w:val="00794669"/>
    <w:rsid w:val="0079526D"/>
    <w:rsid w:val="00795CAE"/>
    <w:rsid w:val="00796F91"/>
    <w:rsid w:val="00797033"/>
    <w:rsid w:val="007971AF"/>
    <w:rsid w:val="0079799F"/>
    <w:rsid w:val="007A0E98"/>
    <w:rsid w:val="007A1839"/>
    <w:rsid w:val="007A220C"/>
    <w:rsid w:val="007A22A2"/>
    <w:rsid w:val="007A3244"/>
    <w:rsid w:val="007A3BED"/>
    <w:rsid w:val="007A4ABC"/>
    <w:rsid w:val="007A6555"/>
    <w:rsid w:val="007B178B"/>
    <w:rsid w:val="007B2210"/>
    <w:rsid w:val="007B2339"/>
    <w:rsid w:val="007B2776"/>
    <w:rsid w:val="007B2951"/>
    <w:rsid w:val="007B3994"/>
    <w:rsid w:val="007B3A05"/>
    <w:rsid w:val="007B44A6"/>
    <w:rsid w:val="007B6010"/>
    <w:rsid w:val="007B6818"/>
    <w:rsid w:val="007B69F5"/>
    <w:rsid w:val="007C0FD7"/>
    <w:rsid w:val="007C148D"/>
    <w:rsid w:val="007C266E"/>
    <w:rsid w:val="007C3987"/>
    <w:rsid w:val="007C5030"/>
    <w:rsid w:val="007C682B"/>
    <w:rsid w:val="007C6B72"/>
    <w:rsid w:val="007D0763"/>
    <w:rsid w:val="007D0A68"/>
    <w:rsid w:val="007D0D0F"/>
    <w:rsid w:val="007D10DE"/>
    <w:rsid w:val="007D1D37"/>
    <w:rsid w:val="007D27D0"/>
    <w:rsid w:val="007D317D"/>
    <w:rsid w:val="007D4126"/>
    <w:rsid w:val="007D5042"/>
    <w:rsid w:val="007D5ADD"/>
    <w:rsid w:val="007D64BB"/>
    <w:rsid w:val="007D6610"/>
    <w:rsid w:val="007D6910"/>
    <w:rsid w:val="007D71FF"/>
    <w:rsid w:val="007E1D8F"/>
    <w:rsid w:val="007E220D"/>
    <w:rsid w:val="007E3265"/>
    <w:rsid w:val="007E59E3"/>
    <w:rsid w:val="007E59FC"/>
    <w:rsid w:val="007E60FD"/>
    <w:rsid w:val="007E6A33"/>
    <w:rsid w:val="007E6D44"/>
    <w:rsid w:val="007E6F9F"/>
    <w:rsid w:val="007E70DD"/>
    <w:rsid w:val="007E719C"/>
    <w:rsid w:val="007F0A68"/>
    <w:rsid w:val="007F12D4"/>
    <w:rsid w:val="007F1734"/>
    <w:rsid w:val="007F1892"/>
    <w:rsid w:val="007F19DD"/>
    <w:rsid w:val="007F2D6C"/>
    <w:rsid w:val="007F39CA"/>
    <w:rsid w:val="007F3C21"/>
    <w:rsid w:val="007F4134"/>
    <w:rsid w:val="007F49C0"/>
    <w:rsid w:val="007F50DF"/>
    <w:rsid w:val="007F5117"/>
    <w:rsid w:val="007F772D"/>
    <w:rsid w:val="007F7F3E"/>
    <w:rsid w:val="0080064E"/>
    <w:rsid w:val="00800DC2"/>
    <w:rsid w:val="008018BB"/>
    <w:rsid w:val="00802477"/>
    <w:rsid w:val="008026A2"/>
    <w:rsid w:val="008033E9"/>
    <w:rsid w:val="00803DAC"/>
    <w:rsid w:val="00803EB3"/>
    <w:rsid w:val="00804558"/>
    <w:rsid w:val="008051EE"/>
    <w:rsid w:val="008056C6"/>
    <w:rsid w:val="00805DE3"/>
    <w:rsid w:val="00806BD8"/>
    <w:rsid w:val="0081089C"/>
    <w:rsid w:val="0081135E"/>
    <w:rsid w:val="0081261B"/>
    <w:rsid w:val="00812EF6"/>
    <w:rsid w:val="00813C23"/>
    <w:rsid w:val="00814E36"/>
    <w:rsid w:val="008154F5"/>
    <w:rsid w:val="0081569D"/>
    <w:rsid w:val="008157FC"/>
    <w:rsid w:val="00815B19"/>
    <w:rsid w:val="00815BDB"/>
    <w:rsid w:val="0081601B"/>
    <w:rsid w:val="0081634D"/>
    <w:rsid w:val="00816E4C"/>
    <w:rsid w:val="00817104"/>
    <w:rsid w:val="0081710A"/>
    <w:rsid w:val="00817388"/>
    <w:rsid w:val="00817BF0"/>
    <w:rsid w:val="00820B28"/>
    <w:rsid w:val="00822134"/>
    <w:rsid w:val="008226A2"/>
    <w:rsid w:val="00822EEA"/>
    <w:rsid w:val="0082356E"/>
    <w:rsid w:val="00823883"/>
    <w:rsid w:val="008240EF"/>
    <w:rsid w:val="0082434B"/>
    <w:rsid w:val="00824D09"/>
    <w:rsid w:val="00824E75"/>
    <w:rsid w:val="0082580E"/>
    <w:rsid w:val="00827D6C"/>
    <w:rsid w:val="008306F8"/>
    <w:rsid w:val="008307EA"/>
    <w:rsid w:val="00832A3D"/>
    <w:rsid w:val="00832D5D"/>
    <w:rsid w:val="0083397D"/>
    <w:rsid w:val="00834FF7"/>
    <w:rsid w:val="00836487"/>
    <w:rsid w:val="008406D3"/>
    <w:rsid w:val="008408FD"/>
    <w:rsid w:val="0084094D"/>
    <w:rsid w:val="008411D4"/>
    <w:rsid w:val="008413B0"/>
    <w:rsid w:val="00841CE1"/>
    <w:rsid w:val="00841E04"/>
    <w:rsid w:val="008422A3"/>
    <w:rsid w:val="00842F81"/>
    <w:rsid w:val="00843A81"/>
    <w:rsid w:val="008449E9"/>
    <w:rsid w:val="00844F58"/>
    <w:rsid w:val="0084521D"/>
    <w:rsid w:val="00845767"/>
    <w:rsid w:val="00845A47"/>
    <w:rsid w:val="008469EF"/>
    <w:rsid w:val="00846DEB"/>
    <w:rsid w:val="00846E74"/>
    <w:rsid w:val="00847560"/>
    <w:rsid w:val="00850BC7"/>
    <w:rsid w:val="00851D98"/>
    <w:rsid w:val="0085222C"/>
    <w:rsid w:val="00852B37"/>
    <w:rsid w:val="00852C5B"/>
    <w:rsid w:val="00853C03"/>
    <w:rsid w:val="0085445F"/>
    <w:rsid w:val="0085457F"/>
    <w:rsid w:val="0085608D"/>
    <w:rsid w:val="008562C7"/>
    <w:rsid w:val="008565FD"/>
    <w:rsid w:val="0085720E"/>
    <w:rsid w:val="00857E3D"/>
    <w:rsid w:val="00861EB1"/>
    <w:rsid w:val="008621ED"/>
    <w:rsid w:val="008621F5"/>
    <w:rsid w:val="00863909"/>
    <w:rsid w:val="0086397F"/>
    <w:rsid w:val="008644DD"/>
    <w:rsid w:val="0086455A"/>
    <w:rsid w:val="00864686"/>
    <w:rsid w:val="00865755"/>
    <w:rsid w:val="00865F75"/>
    <w:rsid w:val="00867828"/>
    <w:rsid w:val="00871E61"/>
    <w:rsid w:val="00873A35"/>
    <w:rsid w:val="00873F5F"/>
    <w:rsid w:val="00874D47"/>
    <w:rsid w:val="00877763"/>
    <w:rsid w:val="008806E9"/>
    <w:rsid w:val="008820B3"/>
    <w:rsid w:val="008828C0"/>
    <w:rsid w:val="0088295F"/>
    <w:rsid w:val="00883A9C"/>
    <w:rsid w:val="00884214"/>
    <w:rsid w:val="008843FF"/>
    <w:rsid w:val="00884451"/>
    <w:rsid w:val="008854AE"/>
    <w:rsid w:val="0088624B"/>
    <w:rsid w:val="008866C0"/>
    <w:rsid w:val="00886726"/>
    <w:rsid w:val="00887293"/>
    <w:rsid w:val="00887A61"/>
    <w:rsid w:val="0089145C"/>
    <w:rsid w:val="00891C1B"/>
    <w:rsid w:val="00891D7D"/>
    <w:rsid w:val="00891FFB"/>
    <w:rsid w:val="008931F6"/>
    <w:rsid w:val="00893A52"/>
    <w:rsid w:val="00895405"/>
    <w:rsid w:val="0089556D"/>
    <w:rsid w:val="00896283"/>
    <w:rsid w:val="00896462"/>
    <w:rsid w:val="00896C4A"/>
    <w:rsid w:val="00897A37"/>
    <w:rsid w:val="00897B7E"/>
    <w:rsid w:val="00897DDC"/>
    <w:rsid w:val="008A0AD3"/>
    <w:rsid w:val="008A3BAB"/>
    <w:rsid w:val="008A3D96"/>
    <w:rsid w:val="008A7C2C"/>
    <w:rsid w:val="008A7EB8"/>
    <w:rsid w:val="008B0AF6"/>
    <w:rsid w:val="008B0C6A"/>
    <w:rsid w:val="008B3350"/>
    <w:rsid w:val="008B37FC"/>
    <w:rsid w:val="008B4764"/>
    <w:rsid w:val="008B5A91"/>
    <w:rsid w:val="008B6646"/>
    <w:rsid w:val="008B7227"/>
    <w:rsid w:val="008B77F0"/>
    <w:rsid w:val="008B7937"/>
    <w:rsid w:val="008B7BF0"/>
    <w:rsid w:val="008C04A6"/>
    <w:rsid w:val="008C14C5"/>
    <w:rsid w:val="008C1ABB"/>
    <w:rsid w:val="008C408D"/>
    <w:rsid w:val="008C4EF3"/>
    <w:rsid w:val="008C53FC"/>
    <w:rsid w:val="008C58BD"/>
    <w:rsid w:val="008C6C33"/>
    <w:rsid w:val="008C77C3"/>
    <w:rsid w:val="008D0AA4"/>
    <w:rsid w:val="008D0B20"/>
    <w:rsid w:val="008D0D84"/>
    <w:rsid w:val="008D1653"/>
    <w:rsid w:val="008D1FB9"/>
    <w:rsid w:val="008D2A0D"/>
    <w:rsid w:val="008D4EC8"/>
    <w:rsid w:val="008D5204"/>
    <w:rsid w:val="008D575A"/>
    <w:rsid w:val="008D5A54"/>
    <w:rsid w:val="008D627A"/>
    <w:rsid w:val="008E0701"/>
    <w:rsid w:val="008E204F"/>
    <w:rsid w:val="008E2C29"/>
    <w:rsid w:val="008E44F1"/>
    <w:rsid w:val="008E4D39"/>
    <w:rsid w:val="008E56A5"/>
    <w:rsid w:val="008E601E"/>
    <w:rsid w:val="008E6BC1"/>
    <w:rsid w:val="008E7821"/>
    <w:rsid w:val="008E7D8D"/>
    <w:rsid w:val="008F0613"/>
    <w:rsid w:val="008F0835"/>
    <w:rsid w:val="008F0B3F"/>
    <w:rsid w:val="008F1DB5"/>
    <w:rsid w:val="008F22F6"/>
    <w:rsid w:val="008F314F"/>
    <w:rsid w:val="008F39F1"/>
    <w:rsid w:val="008F3BEA"/>
    <w:rsid w:val="008F5C91"/>
    <w:rsid w:val="008F70A5"/>
    <w:rsid w:val="008F729D"/>
    <w:rsid w:val="008F78E2"/>
    <w:rsid w:val="008F7F5B"/>
    <w:rsid w:val="00902852"/>
    <w:rsid w:val="00903B06"/>
    <w:rsid w:val="00904169"/>
    <w:rsid w:val="00904406"/>
    <w:rsid w:val="009046C9"/>
    <w:rsid w:val="00905AF5"/>
    <w:rsid w:val="009063E7"/>
    <w:rsid w:val="00906B6F"/>
    <w:rsid w:val="0091004C"/>
    <w:rsid w:val="00911CF1"/>
    <w:rsid w:val="00912767"/>
    <w:rsid w:val="0091484F"/>
    <w:rsid w:val="0091631A"/>
    <w:rsid w:val="00916A7E"/>
    <w:rsid w:val="00917BA2"/>
    <w:rsid w:val="009200C6"/>
    <w:rsid w:val="00920F55"/>
    <w:rsid w:val="00921AFA"/>
    <w:rsid w:val="0092292C"/>
    <w:rsid w:val="00924B6B"/>
    <w:rsid w:val="00924C65"/>
    <w:rsid w:val="009258EF"/>
    <w:rsid w:val="009263D2"/>
    <w:rsid w:val="00926400"/>
    <w:rsid w:val="009278CA"/>
    <w:rsid w:val="009310DB"/>
    <w:rsid w:val="00931DB5"/>
    <w:rsid w:val="00932243"/>
    <w:rsid w:val="0093233F"/>
    <w:rsid w:val="00933334"/>
    <w:rsid w:val="009334AD"/>
    <w:rsid w:val="00934DD3"/>
    <w:rsid w:val="00936EF5"/>
    <w:rsid w:val="00937389"/>
    <w:rsid w:val="00937508"/>
    <w:rsid w:val="009401E2"/>
    <w:rsid w:val="00940EE9"/>
    <w:rsid w:val="00944030"/>
    <w:rsid w:val="0094609F"/>
    <w:rsid w:val="00946393"/>
    <w:rsid w:val="009463EC"/>
    <w:rsid w:val="00946609"/>
    <w:rsid w:val="00950E27"/>
    <w:rsid w:val="00950FD9"/>
    <w:rsid w:val="00951C8F"/>
    <w:rsid w:val="009522D1"/>
    <w:rsid w:val="00954739"/>
    <w:rsid w:val="00954746"/>
    <w:rsid w:val="00954B2C"/>
    <w:rsid w:val="009569B3"/>
    <w:rsid w:val="00956D27"/>
    <w:rsid w:val="00956E0F"/>
    <w:rsid w:val="009601F7"/>
    <w:rsid w:val="009602D7"/>
    <w:rsid w:val="009603CA"/>
    <w:rsid w:val="00961262"/>
    <w:rsid w:val="009620FD"/>
    <w:rsid w:val="0096286F"/>
    <w:rsid w:val="009628AE"/>
    <w:rsid w:val="00966D35"/>
    <w:rsid w:val="009676AF"/>
    <w:rsid w:val="0097167D"/>
    <w:rsid w:val="0097413B"/>
    <w:rsid w:val="00974B17"/>
    <w:rsid w:val="009758EC"/>
    <w:rsid w:val="009767C0"/>
    <w:rsid w:val="00976AFC"/>
    <w:rsid w:val="00976C90"/>
    <w:rsid w:val="00976EED"/>
    <w:rsid w:val="00976F8A"/>
    <w:rsid w:val="00980743"/>
    <w:rsid w:val="00980E12"/>
    <w:rsid w:val="00981086"/>
    <w:rsid w:val="00981D77"/>
    <w:rsid w:val="00982381"/>
    <w:rsid w:val="0098267C"/>
    <w:rsid w:val="00982B40"/>
    <w:rsid w:val="00983C4A"/>
    <w:rsid w:val="009843D2"/>
    <w:rsid w:val="00985C1D"/>
    <w:rsid w:val="00985FFC"/>
    <w:rsid w:val="00986207"/>
    <w:rsid w:val="009872E6"/>
    <w:rsid w:val="00987E06"/>
    <w:rsid w:val="009919EA"/>
    <w:rsid w:val="00992012"/>
    <w:rsid w:val="00992A6A"/>
    <w:rsid w:val="00992BCE"/>
    <w:rsid w:val="00992DF7"/>
    <w:rsid w:val="00993DB0"/>
    <w:rsid w:val="00997A1A"/>
    <w:rsid w:val="00997DF4"/>
    <w:rsid w:val="009A14BE"/>
    <w:rsid w:val="009A1B08"/>
    <w:rsid w:val="009A33C8"/>
    <w:rsid w:val="009A36BD"/>
    <w:rsid w:val="009A3818"/>
    <w:rsid w:val="009A390A"/>
    <w:rsid w:val="009A4F0E"/>
    <w:rsid w:val="009A4FFA"/>
    <w:rsid w:val="009A618E"/>
    <w:rsid w:val="009A70B3"/>
    <w:rsid w:val="009A74C8"/>
    <w:rsid w:val="009A762D"/>
    <w:rsid w:val="009A7EE9"/>
    <w:rsid w:val="009A7FAD"/>
    <w:rsid w:val="009B0724"/>
    <w:rsid w:val="009B0DF1"/>
    <w:rsid w:val="009B1EDF"/>
    <w:rsid w:val="009B2ACA"/>
    <w:rsid w:val="009B4655"/>
    <w:rsid w:val="009B54D5"/>
    <w:rsid w:val="009B57EE"/>
    <w:rsid w:val="009B5C5F"/>
    <w:rsid w:val="009B692C"/>
    <w:rsid w:val="009B6930"/>
    <w:rsid w:val="009B6C58"/>
    <w:rsid w:val="009B7C3D"/>
    <w:rsid w:val="009C06A9"/>
    <w:rsid w:val="009C08DC"/>
    <w:rsid w:val="009C0AD7"/>
    <w:rsid w:val="009C1C72"/>
    <w:rsid w:val="009C3D17"/>
    <w:rsid w:val="009C3DA3"/>
    <w:rsid w:val="009C4D91"/>
    <w:rsid w:val="009C5722"/>
    <w:rsid w:val="009C589D"/>
    <w:rsid w:val="009C61E5"/>
    <w:rsid w:val="009C6A95"/>
    <w:rsid w:val="009C7AC6"/>
    <w:rsid w:val="009D10F1"/>
    <w:rsid w:val="009D1697"/>
    <w:rsid w:val="009D177E"/>
    <w:rsid w:val="009D19ED"/>
    <w:rsid w:val="009D2124"/>
    <w:rsid w:val="009D2C41"/>
    <w:rsid w:val="009D324D"/>
    <w:rsid w:val="009D3C58"/>
    <w:rsid w:val="009D5719"/>
    <w:rsid w:val="009D57B7"/>
    <w:rsid w:val="009D61A7"/>
    <w:rsid w:val="009D6423"/>
    <w:rsid w:val="009D7144"/>
    <w:rsid w:val="009D7DCE"/>
    <w:rsid w:val="009E05DF"/>
    <w:rsid w:val="009E0E82"/>
    <w:rsid w:val="009E1437"/>
    <w:rsid w:val="009E359D"/>
    <w:rsid w:val="009E5507"/>
    <w:rsid w:val="009E565D"/>
    <w:rsid w:val="009E5887"/>
    <w:rsid w:val="009E59E8"/>
    <w:rsid w:val="009E5A4E"/>
    <w:rsid w:val="009E641E"/>
    <w:rsid w:val="009E793B"/>
    <w:rsid w:val="009F2240"/>
    <w:rsid w:val="009F48AD"/>
    <w:rsid w:val="009F4B19"/>
    <w:rsid w:val="009F4B5E"/>
    <w:rsid w:val="009F4DE4"/>
    <w:rsid w:val="009F5BF7"/>
    <w:rsid w:val="009F5FB7"/>
    <w:rsid w:val="009F601E"/>
    <w:rsid w:val="009F73AA"/>
    <w:rsid w:val="009F7564"/>
    <w:rsid w:val="009F7BF5"/>
    <w:rsid w:val="009F7CAC"/>
    <w:rsid w:val="00A0044D"/>
    <w:rsid w:val="00A008CF"/>
    <w:rsid w:val="00A00A66"/>
    <w:rsid w:val="00A0180C"/>
    <w:rsid w:val="00A01ED9"/>
    <w:rsid w:val="00A0217A"/>
    <w:rsid w:val="00A02AB5"/>
    <w:rsid w:val="00A02AFF"/>
    <w:rsid w:val="00A052D5"/>
    <w:rsid w:val="00A05D94"/>
    <w:rsid w:val="00A06231"/>
    <w:rsid w:val="00A062E5"/>
    <w:rsid w:val="00A0630E"/>
    <w:rsid w:val="00A06864"/>
    <w:rsid w:val="00A101B9"/>
    <w:rsid w:val="00A10234"/>
    <w:rsid w:val="00A10849"/>
    <w:rsid w:val="00A109D7"/>
    <w:rsid w:val="00A128A4"/>
    <w:rsid w:val="00A145F3"/>
    <w:rsid w:val="00A149F9"/>
    <w:rsid w:val="00A14B52"/>
    <w:rsid w:val="00A14C21"/>
    <w:rsid w:val="00A153D3"/>
    <w:rsid w:val="00A154DD"/>
    <w:rsid w:val="00A155B1"/>
    <w:rsid w:val="00A1591D"/>
    <w:rsid w:val="00A1658C"/>
    <w:rsid w:val="00A16E01"/>
    <w:rsid w:val="00A16F05"/>
    <w:rsid w:val="00A21EAF"/>
    <w:rsid w:val="00A22832"/>
    <w:rsid w:val="00A22C1F"/>
    <w:rsid w:val="00A232C9"/>
    <w:rsid w:val="00A24124"/>
    <w:rsid w:val="00A24240"/>
    <w:rsid w:val="00A24DA3"/>
    <w:rsid w:val="00A26A3E"/>
    <w:rsid w:val="00A271D5"/>
    <w:rsid w:val="00A279D4"/>
    <w:rsid w:val="00A30343"/>
    <w:rsid w:val="00A30FD2"/>
    <w:rsid w:val="00A312ED"/>
    <w:rsid w:val="00A32502"/>
    <w:rsid w:val="00A325B2"/>
    <w:rsid w:val="00A328C0"/>
    <w:rsid w:val="00A34691"/>
    <w:rsid w:val="00A34FF7"/>
    <w:rsid w:val="00A36B4C"/>
    <w:rsid w:val="00A36D92"/>
    <w:rsid w:val="00A373A0"/>
    <w:rsid w:val="00A3740F"/>
    <w:rsid w:val="00A401F0"/>
    <w:rsid w:val="00A4068D"/>
    <w:rsid w:val="00A41C39"/>
    <w:rsid w:val="00A42AED"/>
    <w:rsid w:val="00A43A7A"/>
    <w:rsid w:val="00A459AB"/>
    <w:rsid w:val="00A467E8"/>
    <w:rsid w:val="00A4715C"/>
    <w:rsid w:val="00A471EE"/>
    <w:rsid w:val="00A47A4B"/>
    <w:rsid w:val="00A47EB7"/>
    <w:rsid w:val="00A5013F"/>
    <w:rsid w:val="00A51A94"/>
    <w:rsid w:val="00A5270F"/>
    <w:rsid w:val="00A53DC2"/>
    <w:rsid w:val="00A54F68"/>
    <w:rsid w:val="00A561E5"/>
    <w:rsid w:val="00A573BD"/>
    <w:rsid w:val="00A57ADD"/>
    <w:rsid w:val="00A6116F"/>
    <w:rsid w:val="00A61605"/>
    <w:rsid w:val="00A619FE"/>
    <w:rsid w:val="00A61BAE"/>
    <w:rsid w:val="00A62D13"/>
    <w:rsid w:val="00A63330"/>
    <w:rsid w:val="00A63A88"/>
    <w:rsid w:val="00A65F73"/>
    <w:rsid w:val="00A65FEA"/>
    <w:rsid w:val="00A665A4"/>
    <w:rsid w:val="00A6678D"/>
    <w:rsid w:val="00A66A58"/>
    <w:rsid w:val="00A66FF5"/>
    <w:rsid w:val="00A67424"/>
    <w:rsid w:val="00A67B8E"/>
    <w:rsid w:val="00A67CAD"/>
    <w:rsid w:val="00A67F9F"/>
    <w:rsid w:val="00A70891"/>
    <w:rsid w:val="00A70DD0"/>
    <w:rsid w:val="00A70ED8"/>
    <w:rsid w:val="00A71170"/>
    <w:rsid w:val="00A72FE4"/>
    <w:rsid w:val="00A73167"/>
    <w:rsid w:val="00A73BE3"/>
    <w:rsid w:val="00A73BF4"/>
    <w:rsid w:val="00A73C23"/>
    <w:rsid w:val="00A74770"/>
    <w:rsid w:val="00A75470"/>
    <w:rsid w:val="00A76735"/>
    <w:rsid w:val="00A774C2"/>
    <w:rsid w:val="00A801F2"/>
    <w:rsid w:val="00A80560"/>
    <w:rsid w:val="00A805DB"/>
    <w:rsid w:val="00A809D6"/>
    <w:rsid w:val="00A8273C"/>
    <w:rsid w:val="00A843DA"/>
    <w:rsid w:val="00A85738"/>
    <w:rsid w:val="00A862CF"/>
    <w:rsid w:val="00A872B6"/>
    <w:rsid w:val="00A872BF"/>
    <w:rsid w:val="00A903B1"/>
    <w:rsid w:val="00A90CCB"/>
    <w:rsid w:val="00A90F1E"/>
    <w:rsid w:val="00A91070"/>
    <w:rsid w:val="00A925D5"/>
    <w:rsid w:val="00A92AC6"/>
    <w:rsid w:val="00A93A94"/>
    <w:rsid w:val="00A950FC"/>
    <w:rsid w:val="00A951D2"/>
    <w:rsid w:val="00A963B6"/>
    <w:rsid w:val="00A96A13"/>
    <w:rsid w:val="00A96A58"/>
    <w:rsid w:val="00A973C1"/>
    <w:rsid w:val="00A97647"/>
    <w:rsid w:val="00AA03F0"/>
    <w:rsid w:val="00AA19FE"/>
    <w:rsid w:val="00AA21C3"/>
    <w:rsid w:val="00AA21D9"/>
    <w:rsid w:val="00AA5A9C"/>
    <w:rsid w:val="00AA610F"/>
    <w:rsid w:val="00AA64D6"/>
    <w:rsid w:val="00AA7388"/>
    <w:rsid w:val="00AB1617"/>
    <w:rsid w:val="00AB163B"/>
    <w:rsid w:val="00AB2182"/>
    <w:rsid w:val="00AB435C"/>
    <w:rsid w:val="00AB44DB"/>
    <w:rsid w:val="00AB4770"/>
    <w:rsid w:val="00AB492A"/>
    <w:rsid w:val="00AB5221"/>
    <w:rsid w:val="00AB59BD"/>
    <w:rsid w:val="00AB6D3A"/>
    <w:rsid w:val="00AB6ECC"/>
    <w:rsid w:val="00AB79B3"/>
    <w:rsid w:val="00AB7BA4"/>
    <w:rsid w:val="00AB7F48"/>
    <w:rsid w:val="00AC004B"/>
    <w:rsid w:val="00AC09C1"/>
    <w:rsid w:val="00AC0A13"/>
    <w:rsid w:val="00AC0A7A"/>
    <w:rsid w:val="00AC0D6E"/>
    <w:rsid w:val="00AC1069"/>
    <w:rsid w:val="00AC2440"/>
    <w:rsid w:val="00AC2BDC"/>
    <w:rsid w:val="00AC3135"/>
    <w:rsid w:val="00AC3579"/>
    <w:rsid w:val="00AC3FD3"/>
    <w:rsid w:val="00AC4D50"/>
    <w:rsid w:val="00AC547A"/>
    <w:rsid w:val="00AC5746"/>
    <w:rsid w:val="00AC5A59"/>
    <w:rsid w:val="00AC6E9D"/>
    <w:rsid w:val="00AC7229"/>
    <w:rsid w:val="00AC76D2"/>
    <w:rsid w:val="00AC7BA2"/>
    <w:rsid w:val="00AD1255"/>
    <w:rsid w:val="00AD5F06"/>
    <w:rsid w:val="00AD6581"/>
    <w:rsid w:val="00AD733F"/>
    <w:rsid w:val="00AE0423"/>
    <w:rsid w:val="00AE4560"/>
    <w:rsid w:val="00AE51C6"/>
    <w:rsid w:val="00AE5442"/>
    <w:rsid w:val="00AE7662"/>
    <w:rsid w:val="00AF0CA9"/>
    <w:rsid w:val="00AF1853"/>
    <w:rsid w:val="00AF2D1E"/>
    <w:rsid w:val="00AF3979"/>
    <w:rsid w:val="00AF429F"/>
    <w:rsid w:val="00AF47C4"/>
    <w:rsid w:val="00AF796D"/>
    <w:rsid w:val="00B00FF8"/>
    <w:rsid w:val="00B043C1"/>
    <w:rsid w:val="00B04FD0"/>
    <w:rsid w:val="00B103E2"/>
    <w:rsid w:val="00B106BF"/>
    <w:rsid w:val="00B10D70"/>
    <w:rsid w:val="00B116CB"/>
    <w:rsid w:val="00B11E2F"/>
    <w:rsid w:val="00B12D8C"/>
    <w:rsid w:val="00B12F08"/>
    <w:rsid w:val="00B132F5"/>
    <w:rsid w:val="00B13C4F"/>
    <w:rsid w:val="00B1402A"/>
    <w:rsid w:val="00B14E0B"/>
    <w:rsid w:val="00B150AD"/>
    <w:rsid w:val="00B1711A"/>
    <w:rsid w:val="00B17ECD"/>
    <w:rsid w:val="00B17ED4"/>
    <w:rsid w:val="00B2037D"/>
    <w:rsid w:val="00B20F2E"/>
    <w:rsid w:val="00B220E7"/>
    <w:rsid w:val="00B22626"/>
    <w:rsid w:val="00B22CBF"/>
    <w:rsid w:val="00B24060"/>
    <w:rsid w:val="00B24584"/>
    <w:rsid w:val="00B25299"/>
    <w:rsid w:val="00B2592B"/>
    <w:rsid w:val="00B26C76"/>
    <w:rsid w:val="00B274CD"/>
    <w:rsid w:val="00B276DF"/>
    <w:rsid w:val="00B307C4"/>
    <w:rsid w:val="00B31AAF"/>
    <w:rsid w:val="00B31EB1"/>
    <w:rsid w:val="00B329A6"/>
    <w:rsid w:val="00B32B5B"/>
    <w:rsid w:val="00B3374F"/>
    <w:rsid w:val="00B3413A"/>
    <w:rsid w:val="00B3428A"/>
    <w:rsid w:val="00B353DD"/>
    <w:rsid w:val="00B359AE"/>
    <w:rsid w:val="00B36F28"/>
    <w:rsid w:val="00B37FF7"/>
    <w:rsid w:val="00B40043"/>
    <w:rsid w:val="00B40077"/>
    <w:rsid w:val="00B4025E"/>
    <w:rsid w:val="00B42900"/>
    <w:rsid w:val="00B43543"/>
    <w:rsid w:val="00B44B85"/>
    <w:rsid w:val="00B44B87"/>
    <w:rsid w:val="00B4507C"/>
    <w:rsid w:val="00B45265"/>
    <w:rsid w:val="00B456B1"/>
    <w:rsid w:val="00B46A7E"/>
    <w:rsid w:val="00B54F73"/>
    <w:rsid w:val="00B554CE"/>
    <w:rsid w:val="00B56223"/>
    <w:rsid w:val="00B56256"/>
    <w:rsid w:val="00B56DC8"/>
    <w:rsid w:val="00B57635"/>
    <w:rsid w:val="00B60004"/>
    <w:rsid w:val="00B60603"/>
    <w:rsid w:val="00B6109E"/>
    <w:rsid w:val="00B615FF"/>
    <w:rsid w:val="00B61937"/>
    <w:rsid w:val="00B62298"/>
    <w:rsid w:val="00B62ABC"/>
    <w:rsid w:val="00B62D37"/>
    <w:rsid w:val="00B63578"/>
    <w:rsid w:val="00B63EB3"/>
    <w:rsid w:val="00B63FBE"/>
    <w:rsid w:val="00B6425F"/>
    <w:rsid w:val="00B65C73"/>
    <w:rsid w:val="00B6717F"/>
    <w:rsid w:val="00B70AEF"/>
    <w:rsid w:val="00B70F61"/>
    <w:rsid w:val="00B721FD"/>
    <w:rsid w:val="00B722DF"/>
    <w:rsid w:val="00B72E5D"/>
    <w:rsid w:val="00B7363C"/>
    <w:rsid w:val="00B73A44"/>
    <w:rsid w:val="00B7543D"/>
    <w:rsid w:val="00B76038"/>
    <w:rsid w:val="00B76408"/>
    <w:rsid w:val="00B7675C"/>
    <w:rsid w:val="00B77F7D"/>
    <w:rsid w:val="00B81C8E"/>
    <w:rsid w:val="00B81F15"/>
    <w:rsid w:val="00B82809"/>
    <w:rsid w:val="00B8284D"/>
    <w:rsid w:val="00B8459C"/>
    <w:rsid w:val="00B846AF"/>
    <w:rsid w:val="00B84AA2"/>
    <w:rsid w:val="00B84E6B"/>
    <w:rsid w:val="00B84EE7"/>
    <w:rsid w:val="00B8529B"/>
    <w:rsid w:val="00B8685D"/>
    <w:rsid w:val="00B86AB9"/>
    <w:rsid w:val="00B8783C"/>
    <w:rsid w:val="00B90CB3"/>
    <w:rsid w:val="00B9110E"/>
    <w:rsid w:val="00B91438"/>
    <w:rsid w:val="00B919F5"/>
    <w:rsid w:val="00B91B32"/>
    <w:rsid w:val="00B92433"/>
    <w:rsid w:val="00B92AFC"/>
    <w:rsid w:val="00B93081"/>
    <w:rsid w:val="00B93187"/>
    <w:rsid w:val="00B932D3"/>
    <w:rsid w:val="00B940D0"/>
    <w:rsid w:val="00B951DB"/>
    <w:rsid w:val="00B95C9F"/>
    <w:rsid w:val="00B9666A"/>
    <w:rsid w:val="00B96F58"/>
    <w:rsid w:val="00B970AD"/>
    <w:rsid w:val="00B97992"/>
    <w:rsid w:val="00BA0171"/>
    <w:rsid w:val="00BA07EA"/>
    <w:rsid w:val="00BA0FAD"/>
    <w:rsid w:val="00BA2B0A"/>
    <w:rsid w:val="00BA2CF1"/>
    <w:rsid w:val="00BA2E5D"/>
    <w:rsid w:val="00BA2F15"/>
    <w:rsid w:val="00BA3264"/>
    <w:rsid w:val="00BA42B6"/>
    <w:rsid w:val="00BA499B"/>
    <w:rsid w:val="00BA4F62"/>
    <w:rsid w:val="00BA6352"/>
    <w:rsid w:val="00BA63EB"/>
    <w:rsid w:val="00BA76DA"/>
    <w:rsid w:val="00BB02B3"/>
    <w:rsid w:val="00BB07D2"/>
    <w:rsid w:val="00BB0ADF"/>
    <w:rsid w:val="00BB1289"/>
    <w:rsid w:val="00BB17B5"/>
    <w:rsid w:val="00BB2455"/>
    <w:rsid w:val="00BB3DA2"/>
    <w:rsid w:val="00BB5D61"/>
    <w:rsid w:val="00BC00F1"/>
    <w:rsid w:val="00BC038B"/>
    <w:rsid w:val="00BC2DF7"/>
    <w:rsid w:val="00BC3C40"/>
    <w:rsid w:val="00BC3E36"/>
    <w:rsid w:val="00BC6673"/>
    <w:rsid w:val="00BC7989"/>
    <w:rsid w:val="00BD184E"/>
    <w:rsid w:val="00BD3876"/>
    <w:rsid w:val="00BD3DEC"/>
    <w:rsid w:val="00BD4BB3"/>
    <w:rsid w:val="00BD57D3"/>
    <w:rsid w:val="00BD61C6"/>
    <w:rsid w:val="00BD6423"/>
    <w:rsid w:val="00BD711D"/>
    <w:rsid w:val="00BE001E"/>
    <w:rsid w:val="00BE0588"/>
    <w:rsid w:val="00BE11AA"/>
    <w:rsid w:val="00BE1201"/>
    <w:rsid w:val="00BE1893"/>
    <w:rsid w:val="00BE41C5"/>
    <w:rsid w:val="00BE4424"/>
    <w:rsid w:val="00BE61D8"/>
    <w:rsid w:val="00BE6CA8"/>
    <w:rsid w:val="00BF0266"/>
    <w:rsid w:val="00BF14D1"/>
    <w:rsid w:val="00BF1AB0"/>
    <w:rsid w:val="00BF2740"/>
    <w:rsid w:val="00BF2BAF"/>
    <w:rsid w:val="00BF36FA"/>
    <w:rsid w:val="00BF3DBF"/>
    <w:rsid w:val="00BF519A"/>
    <w:rsid w:val="00BF57AE"/>
    <w:rsid w:val="00BF606F"/>
    <w:rsid w:val="00BF6134"/>
    <w:rsid w:val="00BF6B4E"/>
    <w:rsid w:val="00C0063B"/>
    <w:rsid w:val="00C039F1"/>
    <w:rsid w:val="00C03FCC"/>
    <w:rsid w:val="00C04093"/>
    <w:rsid w:val="00C042B2"/>
    <w:rsid w:val="00C061C8"/>
    <w:rsid w:val="00C10378"/>
    <w:rsid w:val="00C1080C"/>
    <w:rsid w:val="00C10A17"/>
    <w:rsid w:val="00C10A51"/>
    <w:rsid w:val="00C11498"/>
    <w:rsid w:val="00C11542"/>
    <w:rsid w:val="00C11735"/>
    <w:rsid w:val="00C11EBA"/>
    <w:rsid w:val="00C13A63"/>
    <w:rsid w:val="00C1405A"/>
    <w:rsid w:val="00C14396"/>
    <w:rsid w:val="00C15BA0"/>
    <w:rsid w:val="00C15C0D"/>
    <w:rsid w:val="00C1638C"/>
    <w:rsid w:val="00C16F64"/>
    <w:rsid w:val="00C17054"/>
    <w:rsid w:val="00C20949"/>
    <w:rsid w:val="00C219F1"/>
    <w:rsid w:val="00C2234D"/>
    <w:rsid w:val="00C234EC"/>
    <w:rsid w:val="00C24DC6"/>
    <w:rsid w:val="00C254E4"/>
    <w:rsid w:val="00C2580D"/>
    <w:rsid w:val="00C258C7"/>
    <w:rsid w:val="00C25F96"/>
    <w:rsid w:val="00C25FA3"/>
    <w:rsid w:val="00C26D90"/>
    <w:rsid w:val="00C27FFD"/>
    <w:rsid w:val="00C30030"/>
    <w:rsid w:val="00C307AA"/>
    <w:rsid w:val="00C30A4A"/>
    <w:rsid w:val="00C335E1"/>
    <w:rsid w:val="00C37096"/>
    <w:rsid w:val="00C37DF6"/>
    <w:rsid w:val="00C40634"/>
    <w:rsid w:val="00C41396"/>
    <w:rsid w:val="00C41493"/>
    <w:rsid w:val="00C41B7E"/>
    <w:rsid w:val="00C423EC"/>
    <w:rsid w:val="00C42576"/>
    <w:rsid w:val="00C430E6"/>
    <w:rsid w:val="00C43D79"/>
    <w:rsid w:val="00C4424B"/>
    <w:rsid w:val="00C453B7"/>
    <w:rsid w:val="00C45420"/>
    <w:rsid w:val="00C458DF"/>
    <w:rsid w:val="00C45DD0"/>
    <w:rsid w:val="00C466DF"/>
    <w:rsid w:val="00C4706C"/>
    <w:rsid w:val="00C4715D"/>
    <w:rsid w:val="00C47BBE"/>
    <w:rsid w:val="00C47C3D"/>
    <w:rsid w:val="00C50151"/>
    <w:rsid w:val="00C5136A"/>
    <w:rsid w:val="00C5147C"/>
    <w:rsid w:val="00C514FF"/>
    <w:rsid w:val="00C52745"/>
    <w:rsid w:val="00C54341"/>
    <w:rsid w:val="00C544AB"/>
    <w:rsid w:val="00C546BC"/>
    <w:rsid w:val="00C5510B"/>
    <w:rsid w:val="00C56FA4"/>
    <w:rsid w:val="00C572BC"/>
    <w:rsid w:val="00C60700"/>
    <w:rsid w:val="00C609DE"/>
    <w:rsid w:val="00C61B4B"/>
    <w:rsid w:val="00C63115"/>
    <w:rsid w:val="00C63D47"/>
    <w:rsid w:val="00C63E4A"/>
    <w:rsid w:val="00C6457F"/>
    <w:rsid w:val="00C64660"/>
    <w:rsid w:val="00C65333"/>
    <w:rsid w:val="00C662F7"/>
    <w:rsid w:val="00C666BA"/>
    <w:rsid w:val="00C7038D"/>
    <w:rsid w:val="00C74458"/>
    <w:rsid w:val="00C74E7A"/>
    <w:rsid w:val="00C76DA5"/>
    <w:rsid w:val="00C76DDE"/>
    <w:rsid w:val="00C77189"/>
    <w:rsid w:val="00C772ED"/>
    <w:rsid w:val="00C77449"/>
    <w:rsid w:val="00C80728"/>
    <w:rsid w:val="00C80D40"/>
    <w:rsid w:val="00C80EFB"/>
    <w:rsid w:val="00C81AA6"/>
    <w:rsid w:val="00C82815"/>
    <w:rsid w:val="00C82A3B"/>
    <w:rsid w:val="00C83061"/>
    <w:rsid w:val="00C84013"/>
    <w:rsid w:val="00C8608C"/>
    <w:rsid w:val="00C87D61"/>
    <w:rsid w:val="00C90581"/>
    <w:rsid w:val="00C90795"/>
    <w:rsid w:val="00C910B9"/>
    <w:rsid w:val="00C91805"/>
    <w:rsid w:val="00C920DA"/>
    <w:rsid w:val="00C92715"/>
    <w:rsid w:val="00C9294C"/>
    <w:rsid w:val="00C94759"/>
    <w:rsid w:val="00C94882"/>
    <w:rsid w:val="00C94EFA"/>
    <w:rsid w:val="00C95A71"/>
    <w:rsid w:val="00C96612"/>
    <w:rsid w:val="00C96B68"/>
    <w:rsid w:val="00C96C18"/>
    <w:rsid w:val="00CA063D"/>
    <w:rsid w:val="00CA0AEB"/>
    <w:rsid w:val="00CA0DE2"/>
    <w:rsid w:val="00CA1607"/>
    <w:rsid w:val="00CA172D"/>
    <w:rsid w:val="00CA2E83"/>
    <w:rsid w:val="00CA3781"/>
    <w:rsid w:val="00CA4941"/>
    <w:rsid w:val="00CA4C32"/>
    <w:rsid w:val="00CA55B6"/>
    <w:rsid w:val="00CA5C79"/>
    <w:rsid w:val="00CA770C"/>
    <w:rsid w:val="00CB1271"/>
    <w:rsid w:val="00CB2023"/>
    <w:rsid w:val="00CB3CB0"/>
    <w:rsid w:val="00CB420F"/>
    <w:rsid w:val="00CB4683"/>
    <w:rsid w:val="00CB50AE"/>
    <w:rsid w:val="00CB5D64"/>
    <w:rsid w:val="00CB65C4"/>
    <w:rsid w:val="00CB6C05"/>
    <w:rsid w:val="00CB7754"/>
    <w:rsid w:val="00CC0728"/>
    <w:rsid w:val="00CC1749"/>
    <w:rsid w:val="00CC1965"/>
    <w:rsid w:val="00CC1B61"/>
    <w:rsid w:val="00CC1F5E"/>
    <w:rsid w:val="00CC2247"/>
    <w:rsid w:val="00CC38DC"/>
    <w:rsid w:val="00CC5581"/>
    <w:rsid w:val="00CC6D42"/>
    <w:rsid w:val="00CC7363"/>
    <w:rsid w:val="00CC797A"/>
    <w:rsid w:val="00CC7CBD"/>
    <w:rsid w:val="00CD0B15"/>
    <w:rsid w:val="00CD0D06"/>
    <w:rsid w:val="00CD2002"/>
    <w:rsid w:val="00CD2683"/>
    <w:rsid w:val="00CD303C"/>
    <w:rsid w:val="00CD3E9A"/>
    <w:rsid w:val="00CD401A"/>
    <w:rsid w:val="00CD435C"/>
    <w:rsid w:val="00CD4BF7"/>
    <w:rsid w:val="00CD5046"/>
    <w:rsid w:val="00CD5520"/>
    <w:rsid w:val="00CD689C"/>
    <w:rsid w:val="00CD77B6"/>
    <w:rsid w:val="00CD7A8E"/>
    <w:rsid w:val="00CD7E84"/>
    <w:rsid w:val="00CE0B41"/>
    <w:rsid w:val="00CE1D42"/>
    <w:rsid w:val="00CE1D9E"/>
    <w:rsid w:val="00CE2204"/>
    <w:rsid w:val="00CE2F27"/>
    <w:rsid w:val="00CE3CF5"/>
    <w:rsid w:val="00CE58DD"/>
    <w:rsid w:val="00CE5B0E"/>
    <w:rsid w:val="00CE5B14"/>
    <w:rsid w:val="00CE626C"/>
    <w:rsid w:val="00CE7CD0"/>
    <w:rsid w:val="00CF05BC"/>
    <w:rsid w:val="00CF1D96"/>
    <w:rsid w:val="00CF2816"/>
    <w:rsid w:val="00CF46CF"/>
    <w:rsid w:val="00CF4B8B"/>
    <w:rsid w:val="00CF4E94"/>
    <w:rsid w:val="00CF5C03"/>
    <w:rsid w:val="00CF6625"/>
    <w:rsid w:val="00CF6898"/>
    <w:rsid w:val="00CF6A8C"/>
    <w:rsid w:val="00CF6CCD"/>
    <w:rsid w:val="00CF7C85"/>
    <w:rsid w:val="00D0009F"/>
    <w:rsid w:val="00D00EC0"/>
    <w:rsid w:val="00D0171B"/>
    <w:rsid w:val="00D02440"/>
    <w:rsid w:val="00D02710"/>
    <w:rsid w:val="00D02E72"/>
    <w:rsid w:val="00D04D26"/>
    <w:rsid w:val="00D06028"/>
    <w:rsid w:val="00D07283"/>
    <w:rsid w:val="00D10433"/>
    <w:rsid w:val="00D10BC4"/>
    <w:rsid w:val="00D1247D"/>
    <w:rsid w:val="00D12EB1"/>
    <w:rsid w:val="00D139BB"/>
    <w:rsid w:val="00D142DB"/>
    <w:rsid w:val="00D146A6"/>
    <w:rsid w:val="00D15186"/>
    <w:rsid w:val="00D15A35"/>
    <w:rsid w:val="00D16984"/>
    <w:rsid w:val="00D1699A"/>
    <w:rsid w:val="00D16A37"/>
    <w:rsid w:val="00D17F03"/>
    <w:rsid w:val="00D207A9"/>
    <w:rsid w:val="00D2245E"/>
    <w:rsid w:val="00D2354B"/>
    <w:rsid w:val="00D23FB9"/>
    <w:rsid w:val="00D25C8A"/>
    <w:rsid w:val="00D26975"/>
    <w:rsid w:val="00D270C9"/>
    <w:rsid w:val="00D2734D"/>
    <w:rsid w:val="00D30501"/>
    <w:rsid w:val="00D31A9C"/>
    <w:rsid w:val="00D31ECF"/>
    <w:rsid w:val="00D32104"/>
    <w:rsid w:val="00D3437F"/>
    <w:rsid w:val="00D34757"/>
    <w:rsid w:val="00D34D47"/>
    <w:rsid w:val="00D36256"/>
    <w:rsid w:val="00D3637B"/>
    <w:rsid w:val="00D3698B"/>
    <w:rsid w:val="00D3699A"/>
    <w:rsid w:val="00D37864"/>
    <w:rsid w:val="00D4021D"/>
    <w:rsid w:val="00D40736"/>
    <w:rsid w:val="00D42723"/>
    <w:rsid w:val="00D432B8"/>
    <w:rsid w:val="00D44ED9"/>
    <w:rsid w:val="00D45B05"/>
    <w:rsid w:val="00D46638"/>
    <w:rsid w:val="00D4686C"/>
    <w:rsid w:val="00D50A2A"/>
    <w:rsid w:val="00D5136B"/>
    <w:rsid w:val="00D516E7"/>
    <w:rsid w:val="00D521FD"/>
    <w:rsid w:val="00D52907"/>
    <w:rsid w:val="00D52B56"/>
    <w:rsid w:val="00D52DC0"/>
    <w:rsid w:val="00D551F1"/>
    <w:rsid w:val="00D55297"/>
    <w:rsid w:val="00D553D6"/>
    <w:rsid w:val="00D554DB"/>
    <w:rsid w:val="00D558E1"/>
    <w:rsid w:val="00D563FF"/>
    <w:rsid w:val="00D610E7"/>
    <w:rsid w:val="00D63F7A"/>
    <w:rsid w:val="00D645ED"/>
    <w:rsid w:val="00D66656"/>
    <w:rsid w:val="00D70E1D"/>
    <w:rsid w:val="00D7136D"/>
    <w:rsid w:val="00D73799"/>
    <w:rsid w:val="00D7718B"/>
    <w:rsid w:val="00D771F9"/>
    <w:rsid w:val="00D80437"/>
    <w:rsid w:val="00D80AA3"/>
    <w:rsid w:val="00D80C4E"/>
    <w:rsid w:val="00D8188F"/>
    <w:rsid w:val="00D8270F"/>
    <w:rsid w:val="00D8356E"/>
    <w:rsid w:val="00D835E2"/>
    <w:rsid w:val="00D8640A"/>
    <w:rsid w:val="00D91FCD"/>
    <w:rsid w:val="00D92B73"/>
    <w:rsid w:val="00D93FB8"/>
    <w:rsid w:val="00D94118"/>
    <w:rsid w:val="00D95076"/>
    <w:rsid w:val="00D9515B"/>
    <w:rsid w:val="00D969DB"/>
    <w:rsid w:val="00D96F62"/>
    <w:rsid w:val="00D96F72"/>
    <w:rsid w:val="00D97CA8"/>
    <w:rsid w:val="00DA07CD"/>
    <w:rsid w:val="00DA09C6"/>
    <w:rsid w:val="00DA0EFF"/>
    <w:rsid w:val="00DA24B7"/>
    <w:rsid w:val="00DA31E5"/>
    <w:rsid w:val="00DA3978"/>
    <w:rsid w:val="00DA45F7"/>
    <w:rsid w:val="00DA52B2"/>
    <w:rsid w:val="00DA56DA"/>
    <w:rsid w:val="00DA5FE1"/>
    <w:rsid w:val="00DA6431"/>
    <w:rsid w:val="00DA6966"/>
    <w:rsid w:val="00DA6F81"/>
    <w:rsid w:val="00DB045C"/>
    <w:rsid w:val="00DB1077"/>
    <w:rsid w:val="00DB1A3D"/>
    <w:rsid w:val="00DB1B97"/>
    <w:rsid w:val="00DB34EC"/>
    <w:rsid w:val="00DB64B2"/>
    <w:rsid w:val="00DB682F"/>
    <w:rsid w:val="00DB6E5C"/>
    <w:rsid w:val="00DB737F"/>
    <w:rsid w:val="00DB77A3"/>
    <w:rsid w:val="00DC0F86"/>
    <w:rsid w:val="00DC2270"/>
    <w:rsid w:val="00DC38E3"/>
    <w:rsid w:val="00DC5144"/>
    <w:rsid w:val="00DC54A2"/>
    <w:rsid w:val="00DC696E"/>
    <w:rsid w:val="00DC7895"/>
    <w:rsid w:val="00DD07C9"/>
    <w:rsid w:val="00DD1772"/>
    <w:rsid w:val="00DD2013"/>
    <w:rsid w:val="00DD27F8"/>
    <w:rsid w:val="00DD2B89"/>
    <w:rsid w:val="00DD39F1"/>
    <w:rsid w:val="00DD3C16"/>
    <w:rsid w:val="00DD43C9"/>
    <w:rsid w:val="00DD58A3"/>
    <w:rsid w:val="00DD5DE2"/>
    <w:rsid w:val="00DD6F6F"/>
    <w:rsid w:val="00DD7E0B"/>
    <w:rsid w:val="00DD7EBC"/>
    <w:rsid w:val="00DD7F21"/>
    <w:rsid w:val="00DE09F1"/>
    <w:rsid w:val="00DE337B"/>
    <w:rsid w:val="00DE3652"/>
    <w:rsid w:val="00DE376F"/>
    <w:rsid w:val="00DE4B82"/>
    <w:rsid w:val="00DE5260"/>
    <w:rsid w:val="00DE5446"/>
    <w:rsid w:val="00DE59ED"/>
    <w:rsid w:val="00DE6077"/>
    <w:rsid w:val="00DE79EF"/>
    <w:rsid w:val="00DF0026"/>
    <w:rsid w:val="00DF041D"/>
    <w:rsid w:val="00DF11D1"/>
    <w:rsid w:val="00DF27DA"/>
    <w:rsid w:val="00DF3561"/>
    <w:rsid w:val="00DF5365"/>
    <w:rsid w:val="00DF5A6B"/>
    <w:rsid w:val="00DF5A86"/>
    <w:rsid w:val="00E007C0"/>
    <w:rsid w:val="00E01AB6"/>
    <w:rsid w:val="00E02E0D"/>
    <w:rsid w:val="00E02F81"/>
    <w:rsid w:val="00E066EF"/>
    <w:rsid w:val="00E070B0"/>
    <w:rsid w:val="00E0721C"/>
    <w:rsid w:val="00E10A35"/>
    <w:rsid w:val="00E118A6"/>
    <w:rsid w:val="00E12998"/>
    <w:rsid w:val="00E1369E"/>
    <w:rsid w:val="00E13A42"/>
    <w:rsid w:val="00E13D94"/>
    <w:rsid w:val="00E144BD"/>
    <w:rsid w:val="00E14FEA"/>
    <w:rsid w:val="00E15575"/>
    <w:rsid w:val="00E15E6D"/>
    <w:rsid w:val="00E16A51"/>
    <w:rsid w:val="00E16E96"/>
    <w:rsid w:val="00E1764B"/>
    <w:rsid w:val="00E17E9C"/>
    <w:rsid w:val="00E221CE"/>
    <w:rsid w:val="00E230D6"/>
    <w:rsid w:val="00E23C57"/>
    <w:rsid w:val="00E241B3"/>
    <w:rsid w:val="00E2477E"/>
    <w:rsid w:val="00E25785"/>
    <w:rsid w:val="00E25C74"/>
    <w:rsid w:val="00E25ED0"/>
    <w:rsid w:val="00E273C5"/>
    <w:rsid w:val="00E27502"/>
    <w:rsid w:val="00E27A92"/>
    <w:rsid w:val="00E27C97"/>
    <w:rsid w:val="00E27ECA"/>
    <w:rsid w:val="00E27FD4"/>
    <w:rsid w:val="00E30026"/>
    <w:rsid w:val="00E334D5"/>
    <w:rsid w:val="00E3362F"/>
    <w:rsid w:val="00E3392A"/>
    <w:rsid w:val="00E33D3F"/>
    <w:rsid w:val="00E34A05"/>
    <w:rsid w:val="00E35B4B"/>
    <w:rsid w:val="00E37974"/>
    <w:rsid w:val="00E4047D"/>
    <w:rsid w:val="00E40661"/>
    <w:rsid w:val="00E424C7"/>
    <w:rsid w:val="00E4280E"/>
    <w:rsid w:val="00E42825"/>
    <w:rsid w:val="00E42AFE"/>
    <w:rsid w:val="00E42D7E"/>
    <w:rsid w:val="00E43142"/>
    <w:rsid w:val="00E431F9"/>
    <w:rsid w:val="00E4373D"/>
    <w:rsid w:val="00E447FC"/>
    <w:rsid w:val="00E4586D"/>
    <w:rsid w:val="00E45B2B"/>
    <w:rsid w:val="00E46A4A"/>
    <w:rsid w:val="00E46DE4"/>
    <w:rsid w:val="00E4709D"/>
    <w:rsid w:val="00E4744C"/>
    <w:rsid w:val="00E51B6F"/>
    <w:rsid w:val="00E51F3E"/>
    <w:rsid w:val="00E529C9"/>
    <w:rsid w:val="00E52A71"/>
    <w:rsid w:val="00E534D6"/>
    <w:rsid w:val="00E537A0"/>
    <w:rsid w:val="00E54209"/>
    <w:rsid w:val="00E558CA"/>
    <w:rsid w:val="00E56416"/>
    <w:rsid w:val="00E568BB"/>
    <w:rsid w:val="00E57E4E"/>
    <w:rsid w:val="00E60775"/>
    <w:rsid w:val="00E62021"/>
    <w:rsid w:val="00E62510"/>
    <w:rsid w:val="00E62B7B"/>
    <w:rsid w:val="00E62F87"/>
    <w:rsid w:val="00E630B8"/>
    <w:rsid w:val="00E6386C"/>
    <w:rsid w:val="00E6422F"/>
    <w:rsid w:val="00E646DE"/>
    <w:rsid w:val="00E65083"/>
    <w:rsid w:val="00E659AE"/>
    <w:rsid w:val="00E65A48"/>
    <w:rsid w:val="00E65B10"/>
    <w:rsid w:val="00E662C4"/>
    <w:rsid w:val="00E6759A"/>
    <w:rsid w:val="00E67637"/>
    <w:rsid w:val="00E70512"/>
    <w:rsid w:val="00E7108C"/>
    <w:rsid w:val="00E714F6"/>
    <w:rsid w:val="00E71756"/>
    <w:rsid w:val="00E734E2"/>
    <w:rsid w:val="00E741FE"/>
    <w:rsid w:val="00E7593E"/>
    <w:rsid w:val="00E76A1D"/>
    <w:rsid w:val="00E77FB8"/>
    <w:rsid w:val="00E8149B"/>
    <w:rsid w:val="00E84B6B"/>
    <w:rsid w:val="00E864CB"/>
    <w:rsid w:val="00E86775"/>
    <w:rsid w:val="00E86BC2"/>
    <w:rsid w:val="00E86C4B"/>
    <w:rsid w:val="00E928C1"/>
    <w:rsid w:val="00E9290C"/>
    <w:rsid w:val="00E94157"/>
    <w:rsid w:val="00E94C3B"/>
    <w:rsid w:val="00E951DC"/>
    <w:rsid w:val="00E978D6"/>
    <w:rsid w:val="00EA0BCE"/>
    <w:rsid w:val="00EA0CA9"/>
    <w:rsid w:val="00EA1645"/>
    <w:rsid w:val="00EA1D01"/>
    <w:rsid w:val="00EA239A"/>
    <w:rsid w:val="00EA24D4"/>
    <w:rsid w:val="00EA263A"/>
    <w:rsid w:val="00EA2852"/>
    <w:rsid w:val="00EA3468"/>
    <w:rsid w:val="00EA45C9"/>
    <w:rsid w:val="00EA4AB0"/>
    <w:rsid w:val="00EA5E4D"/>
    <w:rsid w:val="00EA5E90"/>
    <w:rsid w:val="00EA7C06"/>
    <w:rsid w:val="00EB0223"/>
    <w:rsid w:val="00EB1501"/>
    <w:rsid w:val="00EB20AC"/>
    <w:rsid w:val="00EB3DF5"/>
    <w:rsid w:val="00EB4293"/>
    <w:rsid w:val="00EB4511"/>
    <w:rsid w:val="00EB5616"/>
    <w:rsid w:val="00EB73A4"/>
    <w:rsid w:val="00EB78C5"/>
    <w:rsid w:val="00EC2070"/>
    <w:rsid w:val="00EC2A18"/>
    <w:rsid w:val="00EC3704"/>
    <w:rsid w:val="00EC5782"/>
    <w:rsid w:val="00EC6AF4"/>
    <w:rsid w:val="00EC7AD8"/>
    <w:rsid w:val="00EC7BFD"/>
    <w:rsid w:val="00ED0A90"/>
    <w:rsid w:val="00ED12EA"/>
    <w:rsid w:val="00ED2667"/>
    <w:rsid w:val="00ED2933"/>
    <w:rsid w:val="00ED3854"/>
    <w:rsid w:val="00ED3893"/>
    <w:rsid w:val="00ED3E8E"/>
    <w:rsid w:val="00ED5B46"/>
    <w:rsid w:val="00ED5C68"/>
    <w:rsid w:val="00ED5FEA"/>
    <w:rsid w:val="00ED6642"/>
    <w:rsid w:val="00ED6C37"/>
    <w:rsid w:val="00ED6D38"/>
    <w:rsid w:val="00ED72D9"/>
    <w:rsid w:val="00EE0B6F"/>
    <w:rsid w:val="00EE4D89"/>
    <w:rsid w:val="00EE63A1"/>
    <w:rsid w:val="00EF00B6"/>
    <w:rsid w:val="00EF0606"/>
    <w:rsid w:val="00EF06A4"/>
    <w:rsid w:val="00EF0D6F"/>
    <w:rsid w:val="00EF1BFB"/>
    <w:rsid w:val="00EF2525"/>
    <w:rsid w:val="00EF2C56"/>
    <w:rsid w:val="00EF2FA2"/>
    <w:rsid w:val="00EF3466"/>
    <w:rsid w:val="00EF480A"/>
    <w:rsid w:val="00EF58B3"/>
    <w:rsid w:val="00EF622F"/>
    <w:rsid w:val="00EF69D3"/>
    <w:rsid w:val="00EF749A"/>
    <w:rsid w:val="00EF795C"/>
    <w:rsid w:val="00F00033"/>
    <w:rsid w:val="00F005BB"/>
    <w:rsid w:val="00F033F7"/>
    <w:rsid w:val="00F04044"/>
    <w:rsid w:val="00F041F1"/>
    <w:rsid w:val="00F04AB6"/>
    <w:rsid w:val="00F04D13"/>
    <w:rsid w:val="00F04E63"/>
    <w:rsid w:val="00F05813"/>
    <w:rsid w:val="00F07C13"/>
    <w:rsid w:val="00F10EEF"/>
    <w:rsid w:val="00F14004"/>
    <w:rsid w:val="00F14928"/>
    <w:rsid w:val="00F16A01"/>
    <w:rsid w:val="00F1756F"/>
    <w:rsid w:val="00F175E1"/>
    <w:rsid w:val="00F20F68"/>
    <w:rsid w:val="00F21C94"/>
    <w:rsid w:val="00F21EA8"/>
    <w:rsid w:val="00F23800"/>
    <w:rsid w:val="00F245CE"/>
    <w:rsid w:val="00F24BEC"/>
    <w:rsid w:val="00F25088"/>
    <w:rsid w:val="00F25BF1"/>
    <w:rsid w:val="00F2603E"/>
    <w:rsid w:val="00F306F9"/>
    <w:rsid w:val="00F311B5"/>
    <w:rsid w:val="00F32E2C"/>
    <w:rsid w:val="00F33261"/>
    <w:rsid w:val="00F356C7"/>
    <w:rsid w:val="00F36BA6"/>
    <w:rsid w:val="00F37596"/>
    <w:rsid w:val="00F401E1"/>
    <w:rsid w:val="00F408DD"/>
    <w:rsid w:val="00F41092"/>
    <w:rsid w:val="00F41E1E"/>
    <w:rsid w:val="00F43E6A"/>
    <w:rsid w:val="00F44D8E"/>
    <w:rsid w:val="00F4502C"/>
    <w:rsid w:val="00F4587A"/>
    <w:rsid w:val="00F4621F"/>
    <w:rsid w:val="00F47715"/>
    <w:rsid w:val="00F50284"/>
    <w:rsid w:val="00F5143A"/>
    <w:rsid w:val="00F519D8"/>
    <w:rsid w:val="00F519ED"/>
    <w:rsid w:val="00F531E4"/>
    <w:rsid w:val="00F53E42"/>
    <w:rsid w:val="00F540DE"/>
    <w:rsid w:val="00F5512B"/>
    <w:rsid w:val="00F57A6A"/>
    <w:rsid w:val="00F6072B"/>
    <w:rsid w:val="00F60B06"/>
    <w:rsid w:val="00F61002"/>
    <w:rsid w:val="00F62252"/>
    <w:rsid w:val="00F630BE"/>
    <w:rsid w:val="00F639F6"/>
    <w:rsid w:val="00F63C49"/>
    <w:rsid w:val="00F67310"/>
    <w:rsid w:val="00F67E6D"/>
    <w:rsid w:val="00F70103"/>
    <w:rsid w:val="00F701D1"/>
    <w:rsid w:val="00F7031F"/>
    <w:rsid w:val="00F7043C"/>
    <w:rsid w:val="00F71476"/>
    <w:rsid w:val="00F71E39"/>
    <w:rsid w:val="00F72EC6"/>
    <w:rsid w:val="00F7351B"/>
    <w:rsid w:val="00F738AA"/>
    <w:rsid w:val="00F73D8B"/>
    <w:rsid w:val="00F75163"/>
    <w:rsid w:val="00F755FF"/>
    <w:rsid w:val="00F76033"/>
    <w:rsid w:val="00F76934"/>
    <w:rsid w:val="00F76A84"/>
    <w:rsid w:val="00F775CB"/>
    <w:rsid w:val="00F80EF5"/>
    <w:rsid w:val="00F81467"/>
    <w:rsid w:val="00F8148A"/>
    <w:rsid w:val="00F83665"/>
    <w:rsid w:val="00F83AAF"/>
    <w:rsid w:val="00F84132"/>
    <w:rsid w:val="00F85291"/>
    <w:rsid w:val="00F85C18"/>
    <w:rsid w:val="00F85E33"/>
    <w:rsid w:val="00F85F31"/>
    <w:rsid w:val="00F86D47"/>
    <w:rsid w:val="00F86E37"/>
    <w:rsid w:val="00F9072F"/>
    <w:rsid w:val="00F91278"/>
    <w:rsid w:val="00F91833"/>
    <w:rsid w:val="00F93041"/>
    <w:rsid w:val="00F958EE"/>
    <w:rsid w:val="00F95E5B"/>
    <w:rsid w:val="00F95F7D"/>
    <w:rsid w:val="00F9682D"/>
    <w:rsid w:val="00F97776"/>
    <w:rsid w:val="00F977A6"/>
    <w:rsid w:val="00F97C51"/>
    <w:rsid w:val="00FA5362"/>
    <w:rsid w:val="00FA726E"/>
    <w:rsid w:val="00FB0246"/>
    <w:rsid w:val="00FB1574"/>
    <w:rsid w:val="00FB16AA"/>
    <w:rsid w:val="00FB1AB9"/>
    <w:rsid w:val="00FB1BA2"/>
    <w:rsid w:val="00FB319B"/>
    <w:rsid w:val="00FB38D0"/>
    <w:rsid w:val="00FB4D3C"/>
    <w:rsid w:val="00FB5319"/>
    <w:rsid w:val="00FB5A24"/>
    <w:rsid w:val="00FB6AAD"/>
    <w:rsid w:val="00FB70D8"/>
    <w:rsid w:val="00FC0129"/>
    <w:rsid w:val="00FC20E2"/>
    <w:rsid w:val="00FC2E02"/>
    <w:rsid w:val="00FC5C5E"/>
    <w:rsid w:val="00FC7399"/>
    <w:rsid w:val="00FC7D7E"/>
    <w:rsid w:val="00FD066D"/>
    <w:rsid w:val="00FD0B21"/>
    <w:rsid w:val="00FD0B70"/>
    <w:rsid w:val="00FD0BAB"/>
    <w:rsid w:val="00FD14BB"/>
    <w:rsid w:val="00FD27E2"/>
    <w:rsid w:val="00FD309C"/>
    <w:rsid w:val="00FD331B"/>
    <w:rsid w:val="00FD3943"/>
    <w:rsid w:val="00FD4397"/>
    <w:rsid w:val="00FD5785"/>
    <w:rsid w:val="00FD644B"/>
    <w:rsid w:val="00FD78AA"/>
    <w:rsid w:val="00FD7F33"/>
    <w:rsid w:val="00FD7FC6"/>
    <w:rsid w:val="00FE0B5B"/>
    <w:rsid w:val="00FE0D9A"/>
    <w:rsid w:val="00FE1160"/>
    <w:rsid w:val="00FE13B7"/>
    <w:rsid w:val="00FE34AA"/>
    <w:rsid w:val="00FE3BF8"/>
    <w:rsid w:val="00FE4730"/>
    <w:rsid w:val="00FE4C08"/>
    <w:rsid w:val="00FE5CC1"/>
    <w:rsid w:val="00FE7786"/>
    <w:rsid w:val="00FF0181"/>
    <w:rsid w:val="00FF0F52"/>
    <w:rsid w:val="00FF173B"/>
    <w:rsid w:val="00FF1842"/>
    <w:rsid w:val="00FF2457"/>
    <w:rsid w:val="00FF28ED"/>
    <w:rsid w:val="00FF293F"/>
    <w:rsid w:val="00FF2ADC"/>
    <w:rsid w:val="00FF388D"/>
    <w:rsid w:val="00FF3E6F"/>
    <w:rsid w:val="00FF4113"/>
    <w:rsid w:val="00FF4273"/>
    <w:rsid w:val="00FF47A0"/>
    <w:rsid w:val="00FF5708"/>
    <w:rsid w:val="00FF5B5F"/>
    <w:rsid w:val="00FF5CB1"/>
    <w:rsid w:val="00FF5EC1"/>
    <w:rsid w:val="00FF6155"/>
    <w:rsid w:val="00FF746A"/>
    <w:rsid w:val="00FF7BEA"/>
    <w:rsid w:val="020272DB"/>
    <w:rsid w:val="043D7270"/>
    <w:rsid w:val="067A2EBC"/>
    <w:rsid w:val="0B926386"/>
    <w:rsid w:val="0BCE4A13"/>
    <w:rsid w:val="0CB12724"/>
    <w:rsid w:val="0DF31448"/>
    <w:rsid w:val="0E5247BC"/>
    <w:rsid w:val="0E6A4C54"/>
    <w:rsid w:val="158B3E4F"/>
    <w:rsid w:val="1A0135C7"/>
    <w:rsid w:val="205A389B"/>
    <w:rsid w:val="270C3DEC"/>
    <w:rsid w:val="277B1E5F"/>
    <w:rsid w:val="2E9139B5"/>
    <w:rsid w:val="3A781B24"/>
    <w:rsid w:val="3AE828F7"/>
    <w:rsid w:val="3B442FFA"/>
    <w:rsid w:val="3E2A0F30"/>
    <w:rsid w:val="3F8333F4"/>
    <w:rsid w:val="44520C98"/>
    <w:rsid w:val="45185BE5"/>
    <w:rsid w:val="457B02D1"/>
    <w:rsid w:val="48494DD1"/>
    <w:rsid w:val="50535BC2"/>
    <w:rsid w:val="5C0E22BC"/>
    <w:rsid w:val="5E8C3AA4"/>
    <w:rsid w:val="62D577D5"/>
    <w:rsid w:val="659C0E4D"/>
    <w:rsid w:val="69B63DAC"/>
    <w:rsid w:val="72370FF0"/>
    <w:rsid w:val="7AD602B2"/>
    <w:rsid w:val="7F237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qFormat/>
    <w:uiPriority w:val="0"/>
    <w:pPr>
      <w:keepNext/>
      <w:numPr>
        <w:ilvl w:val="0"/>
        <w:numId w:val="1"/>
      </w:numPr>
      <w:outlineLvl w:val="0"/>
    </w:pPr>
    <w:rPr>
      <w:rFonts w:ascii="宋体"/>
      <w:sz w:val="28"/>
      <w:szCs w:val="20"/>
    </w:rPr>
  </w:style>
  <w:style w:type="paragraph" w:styleId="3">
    <w:name w:val="heading 2"/>
    <w:basedOn w:val="1"/>
    <w:next w:val="4"/>
    <w:qFormat/>
    <w:uiPriority w:val="0"/>
    <w:pPr>
      <w:numPr>
        <w:ilvl w:val="1"/>
        <w:numId w:val="2"/>
      </w:numPr>
      <w:tabs>
        <w:tab w:val="left" w:pos="1080"/>
      </w:tabs>
      <w:spacing w:before="60" w:after="60"/>
      <w:outlineLvl w:val="1"/>
    </w:pPr>
    <w:rPr>
      <w:rFonts w:ascii="Arial" w:hAnsi="Arial"/>
      <w:sz w:val="24"/>
      <w:szCs w:val="20"/>
    </w:rPr>
  </w:style>
  <w:style w:type="paragraph" w:styleId="5">
    <w:name w:val="heading 3"/>
    <w:basedOn w:val="1"/>
    <w:next w:val="1"/>
    <w:qFormat/>
    <w:uiPriority w:val="0"/>
    <w:pPr>
      <w:keepLines/>
      <w:numPr>
        <w:ilvl w:val="2"/>
        <w:numId w:val="2"/>
      </w:numPr>
      <w:spacing w:before="120" w:after="60"/>
      <w:outlineLvl w:val="2"/>
    </w:pPr>
    <w:rPr>
      <w:bCs/>
      <w:sz w:val="24"/>
      <w:szCs w:val="32"/>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41"/>
    <w:qFormat/>
    <w:uiPriority w:val="0"/>
    <w:pPr>
      <w:keepNext/>
      <w:keepLines/>
      <w:spacing w:before="240" w:after="64" w:line="320" w:lineRule="auto"/>
      <w:outlineLvl w:val="6"/>
    </w:pPr>
    <w:rPr>
      <w:b/>
      <w:bCs/>
      <w:sz w:val="24"/>
    </w:rPr>
  </w:style>
  <w:style w:type="character" w:default="1" w:styleId="18">
    <w:name w:val="Default Paragraph Font"/>
    <w:unhideWhenUsed/>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9">
    <w:name w:val="annotation subject"/>
    <w:basedOn w:val="10"/>
    <w:next w:val="10"/>
    <w:semiHidden/>
    <w:qFormat/>
    <w:uiPriority w:val="0"/>
    <w:rPr>
      <w:b/>
      <w:bCs/>
    </w:rPr>
  </w:style>
  <w:style w:type="paragraph" w:styleId="10">
    <w:name w:val="annotation text"/>
    <w:basedOn w:val="1"/>
    <w:semiHidden/>
    <w:qFormat/>
    <w:uiPriority w:val="0"/>
    <w:pPr>
      <w:jc w:val="left"/>
    </w:pPr>
  </w:style>
  <w:style w:type="paragraph" w:styleId="11">
    <w:name w:val="Body Text"/>
    <w:basedOn w:val="1"/>
    <w:qFormat/>
    <w:uiPriority w:val="0"/>
    <w:pPr>
      <w:spacing w:after="120"/>
    </w:pPr>
  </w:style>
  <w:style w:type="paragraph" w:styleId="12">
    <w:name w:val="Date"/>
    <w:basedOn w:val="1"/>
    <w:next w:val="1"/>
    <w:qFormat/>
    <w:uiPriority w:val="0"/>
    <w:pPr>
      <w:ind w:left="100" w:leftChars="2500"/>
    </w:pPr>
  </w:style>
  <w:style w:type="paragraph" w:styleId="13">
    <w:name w:val="Balloon Text"/>
    <w:basedOn w:val="1"/>
    <w:semiHidden/>
    <w:qFormat/>
    <w:uiPriority w:val="0"/>
    <w:rPr>
      <w:sz w:val="18"/>
      <w:szCs w:val="18"/>
    </w:rPr>
  </w:style>
  <w:style w:type="paragraph" w:styleId="14">
    <w:name w:val="footer"/>
    <w:basedOn w:val="1"/>
    <w:link w:val="31"/>
    <w:qFormat/>
    <w:uiPriority w:val="99"/>
    <w:pPr>
      <w:tabs>
        <w:tab w:val="center" w:pos="4153"/>
        <w:tab w:val="right" w:pos="8306"/>
      </w:tabs>
      <w:snapToGrid w:val="0"/>
      <w:jc w:val="left"/>
    </w:pPr>
    <w:rPr>
      <w:sz w:val="18"/>
      <w:szCs w:val="18"/>
    </w:rPr>
  </w:style>
  <w:style w:type="paragraph" w:styleId="15">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link w:val="38"/>
    <w:qFormat/>
    <w:uiPriority w:val="0"/>
    <w:pPr>
      <w:spacing w:after="120"/>
      <w:ind w:left="420" w:leftChars="200"/>
    </w:pPr>
    <w:rPr>
      <w:sz w:val="16"/>
      <w:szCs w:val="16"/>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9">
    <w:name w:val="page number"/>
    <w:basedOn w:val="18"/>
    <w:qFormat/>
    <w:uiPriority w:val="0"/>
  </w:style>
  <w:style w:type="character" w:styleId="20">
    <w:name w:val="Hyperlink"/>
    <w:qFormat/>
    <w:uiPriority w:val="0"/>
    <w:rPr>
      <w:color w:val="0000FF"/>
      <w:u w:val="single"/>
    </w:rPr>
  </w:style>
  <w:style w:type="character" w:styleId="21">
    <w:name w:val="annotation reference"/>
    <w:semiHidden/>
    <w:qFormat/>
    <w:uiPriority w:val="0"/>
    <w:rPr>
      <w:sz w:val="21"/>
      <w:szCs w:val="21"/>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24">
    <w:name w:val="Table Theme"/>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5">
    <w:name w:val="articletitle1"/>
    <w:qFormat/>
    <w:uiPriority w:val="0"/>
    <w:rPr>
      <w:sz w:val="21"/>
      <w:szCs w:val="21"/>
    </w:rPr>
  </w:style>
  <w:style w:type="character" w:customStyle="1" w:styleId="26">
    <w:name w:val="articlebody1"/>
    <w:qFormat/>
    <w:uiPriority w:val="0"/>
    <w:rPr>
      <w:sz w:val="21"/>
      <w:szCs w:val="21"/>
    </w:rPr>
  </w:style>
  <w:style w:type="paragraph" w:customStyle="1" w:styleId="27">
    <w:name w:val="样式 首行缩进:  2 字符"/>
    <w:basedOn w:val="1"/>
    <w:qFormat/>
    <w:uiPriority w:val="0"/>
    <w:pPr>
      <w:spacing w:before="60" w:after="60"/>
      <w:ind w:firstLine="480" w:firstLineChars="200"/>
    </w:pPr>
    <w:rPr>
      <w:sz w:val="24"/>
      <w:szCs w:val="20"/>
    </w:rPr>
  </w:style>
  <w:style w:type="paragraph" w:customStyle="1" w:styleId="28">
    <w:name w:val="Char Char"/>
    <w:basedOn w:val="1"/>
    <w:qFormat/>
    <w:uiPriority w:val="0"/>
    <w:rPr>
      <w:rFonts w:ascii="Tahoma" w:hAnsi="Tahoma"/>
      <w:sz w:val="24"/>
      <w:szCs w:val="20"/>
    </w:rPr>
  </w:style>
  <w:style w:type="paragraph" w:customStyle="1" w:styleId="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0">
    <w:name w:val="页眉 Char"/>
    <w:link w:val="15"/>
    <w:qFormat/>
    <w:uiPriority w:val="0"/>
    <w:rPr>
      <w:kern w:val="2"/>
      <w:sz w:val="18"/>
      <w:szCs w:val="18"/>
    </w:rPr>
  </w:style>
  <w:style w:type="character" w:customStyle="1" w:styleId="31">
    <w:name w:val="页脚 Char"/>
    <w:link w:val="14"/>
    <w:qFormat/>
    <w:uiPriority w:val="99"/>
    <w:rPr>
      <w:kern w:val="2"/>
      <w:sz w:val="18"/>
      <w:szCs w:val="18"/>
    </w:rPr>
  </w:style>
  <w:style w:type="paragraph" w:customStyle="1" w:styleId="32">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3">
    <w:name w:val="NYIndenture_L1"/>
    <w:basedOn w:val="1"/>
    <w:next w:val="11"/>
    <w:qFormat/>
    <w:uiPriority w:val="0"/>
    <w:pPr>
      <w:widowControl/>
      <w:numPr>
        <w:ilvl w:val="0"/>
        <w:numId w:val="3"/>
      </w:numPr>
      <w:spacing w:after="240"/>
      <w:jc w:val="center"/>
      <w:outlineLvl w:val="0"/>
    </w:pPr>
    <w:rPr>
      <w:kern w:val="0"/>
      <w:sz w:val="24"/>
      <w:szCs w:val="20"/>
      <w:lang w:eastAsia="en-US"/>
    </w:rPr>
  </w:style>
  <w:style w:type="paragraph" w:customStyle="1" w:styleId="34">
    <w:name w:val="NYIndenture_L2"/>
    <w:basedOn w:val="33"/>
    <w:next w:val="11"/>
    <w:qFormat/>
    <w:uiPriority w:val="0"/>
    <w:pPr>
      <w:numPr>
        <w:ilvl w:val="1"/>
      </w:numPr>
      <w:jc w:val="left"/>
      <w:outlineLvl w:val="1"/>
    </w:pPr>
  </w:style>
  <w:style w:type="paragraph" w:customStyle="1" w:styleId="35">
    <w:name w:val="NYIndenture_L3"/>
    <w:basedOn w:val="34"/>
    <w:next w:val="11"/>
    <w:qFormat/>
    <w:uiPriority w:val="0"/>
    <w:pPr>
      <w:numPr>
        <w:ilvl w:val="2"/>
      </w:numPr>
      <w:outlineLvl w:val="2"/>
    </w:pPr>
  </w:style>
  <w:style w:type="paragraph" w:customStyle="1" w:styleId="36">
    <w:name w:val="NYIndenture_L4"/>
    <w:basedOn w:val="35"/>
    <w:next w:val="11"/>
    <w:qFormat/>
    <w:uiPriority w:val="0"/>
    <w:pPr>
      <w:numPr>
        <w:ilvl w:val="3"/>
      </w:numPr>
      <w:outlineLvl w:val="3"/>
    </w:pPr>
  </w:style>
  <w:style w:type="paragraph" w:customStyle="1" w:styleId="37">
    <w:name w:val="NYIndenture_L5"/>
    <w:basedOn w:val="36"/>
    <w:next w:val="11"/>
    <w:qFormat/>
    <w:uiPriority w:val="0"/>
    <w:pPr>
      <w:numPr>
        <w:ilvl w:val="4"/>
      </w:numPr>
      <w:outlineLvl w:val="4"/>
    </w:pPr>
  </w:style>
  <w:style w:type="character" w:customStyle="1" w:styleId="38">
    <w:name w:val="正文文本缩进 3 Char"/>
    <w:link w:val="16"/>
    <w:qFormat/>
    <w:uiPriority w:val="0"/>
    <w:rPr>
      <w:kern w:val="2"/>
      <w:sz w:val="16"/>
      <w:szCs w:val="16"/>
    </w:rPr>
  </w:style>
  <w:style w:type="character" w:customStyle="1" w:styleId="39">
    <w:name w:val="标题 1 Char"/>
    <w:link w:val="2"/>
    <w:qFormat/>
    <w:uiPriority w:val="0"/>
    <w:rPr>
      <w:rFonts w:ascii="宋体"/>
      <w:kern w:val="2"/>
      <w:sz w:val="28"/>
    </w:rPr>
  </w:style>
  <w:style w:type="paragraph" w:customStyle="1" w:styleId="40">
    <w:name w:val="CM3"/>
    <w:basedOn w:val="1"/>
    <w:next w:val="1"/>
    <w:qFormat/>
    <w:uiPriority w:val="0"/>
    <w:pPr>
      <w:autoSpaceDE w:val="0"/>
      <w:autoSpaceDN w:val="0"/>
      <w:adjustRightInd w:val="0"/>
      <w:spacing w:line="620" w:lineRule="atLeast"/>
      <w:jc w:val="left"/>
    </w:pPr>
    <w:rPr>
      <w:rFonts w:ascii="黑体" w:eastAsia="黑体" w:cs="黑体"/>
      <w:kern w:val="0"/>
      <w:sz w:val="24"/>
    </w:rPr>
  </w:style>
  <w:style w:type="character" w:customStyle="1" w:styleId="41">
    <w:name w:val="标题 7 Char"/>
    <w:link w:val="8"/>
    <w:qFormat/>
    <w:uiPriority w:val="0"/>
    <w:rPr>
      <w:b/>
      <w:bCs/>
      <w:kern w:val="2"/>
      <w:sz w:val="24"/>
      <w:szCs w:val="24"/>
    </w:rPr>
  </w:style>
  <w:style w:type="paragraph" w:customStyle="1" w:styleId="42">
    <w:name w:val="zw"/>
    <w:basedOn w:val="1"/>
    <w:link w:val="43"/>
    <w:qFormat/>
    <w:uiPriority w:val="0"/>
    <w:pPr>
      <w:adjustRightInd w:val="0"/>
      <w:spacing w:line="360" w:lineRule="auto"/>
      <w:ind w:firstLine="482"/>
      <w:textAlignment w:val="baseline"/>
    </w:pPr>
    <w:rPr>
      <w:rFonts w:ascii="Arial Narrow" w:hAnsi="Arial Narrow" w:eastAsia="楷体_GB2312"/>
      <w:kern w:val="0"/>
      <w:sz w:val="24"/>
      <w:szCs w:val="20"/>
    </w:rPr>
  </w:style>
  <w:style w:type="character" w:customStyle="1" w:styleId="43">
    <w:name w:val="zw Char Char"/>
    <w:link w:val="42"/>
    <w:qFormat/>
    <w:uiPriority w:val="0"/>
    <w:rPr>
      <w:rFonts w:ascii="Arial Narrow" w:hAnsi="Arial Narrow" w:eastAsia="楷体_GB2312"/>
      <w:sz w:val="24"/>
    </w:rPr>
  </w:style>
  <w:style w:type="paragraph" w:customStyle="1" w:styleId="44">
    <w:name w:val="ZW"/>
    <w:basedOn w:val="1"/>
    <w:qFormat/>
    <w:uiPriority w:val="0"/>
    <w:pPr>
      <w:adjustRightInd w:val="0"/>
      <w:spacing w:line="440" w:lineRule="atLeast"/>
      <w:ind w:firstLine="601"/>
      <w:textAlignment w:val="baseline"/>
    </w:pPr>
    <w:rPr>
      <w:rFonts w:ascii="Arial Narrow" w:eastAsia="昆仑楷体"/>
      <w:kern w:val="0"/>
      <w:sz w:val="28"/>
      <w:szCs w:val="20"/>
    </w:rPr>
  </w:style>
  <w:style w:type="paragraph" w:customStyle="1" w:styleId="45">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2398</Words>
  <Characters>13674</Characters>
  <Lines>113</Lines>
  <Paragraphs>32</Paragraphs>
  <ScaleCrop>false</ScaleCrop>
  <LinksUpToDate>false</LinksUpToDate>
  <CharactersWithSpaces>16040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2018-05-30T07:20:00Z</dcterms:created>
  <dc:creator>bill</dc:creator>
  <cp:lastModifiedBy>admin</cp:lastModifiedBy>
  <cp:lastPrinted>2015-01-20T01:25:00Z</cp:lastPrinted>
  <dcterms:modified xsi:type="dcterms:W3CDTF">2019-04-14T09:13:58Z</dcterms:modified>
  <dc:title>浙江中大宾馆有限公司整体股权</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